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8F771C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2025-2027年度市管道路设施养护项目</w:t>
      </w:r>
    </w:p>
    <w:p w14:paraId="7272C664">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w:t>
      </w:r>
      <w:r>
        <w:rPr>
          <w:rFonts w:hint="eastAsia" w:ascii="仿宋_GB2312" w:hAnsi="宋体" w:eastAsia="仿宋_GB2312"/>
          <w:b/>
          <w:spacing w:val="28"/>
          <w:sz w:val="44"/>
          <w:szCs w:val="44"/>
          <w:lang w:val="en-US" w:eastAsia="zh-CN"/>
        </w:rPr>
        <w:t>仪扬河大桥桥下空间应急基地板房</w:t>
      </w:r>
      <w:r>
        <w:rPr>
          <w:rFonts w:hint="eastAsia" w:ascii="仿宋_GB2312" w:hAnsi="宋体" w:eastAsia="仿宋_GB2312"/>
          <w:b/>
          <w:spacing w:val="28"/>
          <w:sz w:val="52"/>
          <w:szCs w:val="48"/>
          <w:lang w:val="en-US" w:eastAsia="zh-CN"/>
        </w:rPr>
        <w:t>）</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eastAsia" w:asciiTheme="majorEastAsia" w:hAnsiTheme="majorEastAsia" w:eastAsiaTheme="majorEastAsia" w:cstheme="majorEastAsia"/>
          <w:b/>
          <w:bCs/>
          <w:snapToGrid w:val="0"/>
          <w:color w:val="000000" w:themeColor="text1"/>
          <w:sz w:val="28"/>
          <w:lang w:val="en-US"/>
          <w14:textFill>
            <w14:solidFill>
              <w14:schemeClr w14:val="tx1"/>
            </w14:solidFill>
          </w14:textFill>
        </w:rPr>
      </w:pPr>
      <w:r>
        <w:rPr>
          <w:rFonts w:hint="eastAsia" w:asciiTheme="majorEastAsia" w:hAnsiTheme="majorEastAsia" w:eastAsiaTheme="majorEastAsia" w:cstheme="majorEastAsia"/>
          <w:b/>
          <w:bCs/>
          <w:snapToGrid w:val="0"/>
          <w:color w:val="000000" w:themeColor="text1"/>
          <w:sz w:val="30"/>
          <w14:textFill>
            <w14:solidFill>
              <w14:schemeClr w14:val="tx1"/>
            </w14:solidFill>
          </w14:textFill>
        </w:rPr>
        <w:t>招       标      人：</w:t>
      </w:r>
      <w:r>
        <w:rPr>
          <w:rFonts w:hint="eastAsia" w:asciiTheme="majorEastAsia" w:hAnsiTheme="majorEastAsia" w:eastAsiaTheme="majorEastAsia" w:cstheme="majorEastAsia"/>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hint="eastAsia" w:asciiTheme="majorEastAsia" w:hAnsiTheme="majorEastAsia" w:eastAsiaTheme="majorEastAsia" w:cstheme="majorEastAsia"/>
          <w:color w:val="000000" w:themeColor="text1"/>
          <w:sz w:val="30"/>
          <w:szCs w:val="30"/>
          <w14:textFill>
            <w14:solidFill>
              <w14:schemeClr w14:val="tx1"/>
            </w14:solidFill>
          </w14:textFill>
        </w:rPr>
      </w:pPr>
      <w:r>
        <w:rPr>
          <w:rFonts w:hint="eastAsia" w:asciiTheme="majorEastAsia" w:hAnsiTheme="majorEastAsia" w:eastAsiaTheme="majorEastAsia" w:cstheme="majorEastAsia"/>
          <w:b/>
          <w:bCs/>
          <w:snapToGrid w:val="0"/>
          <w:color w:val="000000" w:themeColor="text1"/>
          <w:sz w:val="30"/>
          <w:szCs w:val="30"/>
          <w14:textFill>
            <w14:solidFill>
              <w14:schemeClr w14:val="tx1"/>
            </w14:solidFill>
          </w14:textFill>
        </w:rPr>
        <w:t xml:space="preserve">发    放    日   期： </w:t>
      </w:r>
      <w:r>
        <w:rPr>
          <w:rFonts w:hint="eastAsia" w:asciiTheme="majorEastAsia" w:hAnsiTheme="majorEastAsia" w:eastAsiaTheme="majorEastAsia" w:cstheme="majorEastAsia"/>
          <w:b/>
          <w:bCs/>
          <w:snapToGrid w:val="0"/>
          <w:color w:val="000000" w:themeColor="text1"/>
          <w:sz w:val="30"/>
          <w:szCs w:val="30"/>
          <w:u w:val="single"/>
          <w:lang w:val="en-US" w:eastAsia="zh-CN"/>
          <w14:textFill>
            <w14:solidFill>
              <w14:schemeClr w14:val="tx1"/>
            </w14:solidFill>
          </w14:textFill>
        </w:rPr>
        <w:t>2026</w:t>
      </w:r>
      <w:r>
        <w:rPr>
          <w:rFonts w:hint="eastAsia" w:asciiTheme="majorEastAsia" w:hAnsiTheme="majorEastAsia" w:eastAsiaTheme="majorEastAsia" w:cstheme="majorEastAsia"/>
          <w:b/>
          <w:bCs/>
          <w:snapToGrid w:val="0"/>
          <w:color w:val="000000" w:themeColor="text1"/>
          <w:sz w:val="30"/>
          <w:szCs w:val="30"/>
          <w14:textFill>
            <w14:solidFill>
              <w14:schemeClr w14:val="tx1"/>
            </w14:solidFill>
          </w14:textFill>
        </w:rPr>
        <w:t>年</w:t>
      </w:r>
      <w:r>
        <w:rPr>
          <w:rFonts w:hint="eastAsia" w:asciiTheme="majorEastAsia" w:hAnsiTheme="majorEastAsia" w:eastAsiaTheme="majorEastAsia" w:cstheme="majorEastAsia"/>
          <w:b/>
          <w:bCs/>
          <w:snapToGrid w:val="0"/>
          <w:color w:val="000000" w:themeColor="text1"/>
          <w:sz w:val="30"/>
          <w:szCs w:val="30"/>
          <w:u w:val="single"/>
          <w:lang w:val="en-US" w:eastAsia="zh-CN"/>
          <w14:textFill>
            <w14:solidFill>
              <w14:schemeClr w14:val="tx1"/>
            </w14:solidFill>
          </w14:textFill>
        </w:rPr>
        <w:t xml:space="preserve"> 1</w:t>
      </w:r>
      <w:r>
        <w:rPr>
          <w:rFonts w:hint="eastAsia" w:asciiTheme="majorEastAsia" w:hAnsiTheme="majorEastAsia" w:eastAsiaTheme="majorEastAsia" w:cstheme="majorEastAsia"/>
          <w:b/>
          <w:bCs/>
          <w:snapToGrid w:val="0"/>
          <w:color w:val="000000" w:themeColor="text1"/>
          <w:sz w:val="30"/>
          <w:szCs w:val="30"/>
          <w14:textFill>
            <w14:solidFill>
              <w14:schemeClr w14:val="tx1"/>
            </w14:solidFill>
          </w14:textFill>
        </w:rPr>
        <w:t>月</w:t>
      </w:r>
      <w:r>
        <w:rPr>
          <w:rFonts w:hint="eastAsia" w:asciiTheme="majorEastAsia" w:hAnsiTheme="majorEastAsia" w:eastAsiaTheme="majorEastAsia" w:cstheme="majorEastAsia"/>
          <w:b/>
          <w:bCs/>
          <w:snapToGrid w:val="0"/>
          <w:color w:val="000000" w:themeColor="text1"/>
          <w:sz w:val="30"/>
          <w:szCs w:val="30"/>
          <w:u w:val="single"/>
          <w:lang w:val="en-US" w:eastAsia="zh-CN"/>
          <w14:textFill>
            <w14:solidFill>
              <w14:schemeClr w14:val="tx1"/>
            </w14:solidFill>
          </w14:textFill>
        </w:rPr>
        <w:t xml:space="preserve"> 23</w:t>
      </w:r>
      <w:r>
        <w:rPr>
          <w:rFonts w:hint="eastAsia" w:asciiTheme="majorEastAsia" w:hAnsiTheme="majorEastAsia" w:eastAsiaTheme="majorEastAsia" w:cstheme="majorEastAsia"/>
          <w:b/>
          <w:bCs/>
          <w:snapToGrid w:val="0"/>
          <w:color w:val="000000" w:themeColor="text1"/>
          <w:sz w:val="30"/>
          <w:szCs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687F541F">
      <w:pPr>
        <w:rPr>
          <w:rFonts w:hint="eastAsia"/>
        </w:rPr>
      </w:pPr>
    </w:p>
    <w:p w14:paraId="6789B486">
      <w:pPr>
        <w:rPr>
          <w:rFonts w:hint="eastAsia"/>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79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3"/>
        <w:gridCol w:w="1982"/>
        <w:gridCol w:w="1097"/>
        <w:gridCol w:w="3111"/>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3"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3"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97E607">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2025-2027年度市管道路设施养护项目（仪扬河大桥桥下空间应急基地板房）</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3"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3"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板房</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3"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FF0000"/>
                <w:szCs w:val="21"/>
                <w:lang w:eastAsia="zh-CN"/>
              </w:rPr>
              <w:t>最高限价</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s="宋体"/>
                <w:i w:val="0"/>
                <w:iCs w:val="0"/>
                <w:color w:val="000000"/>
                <w:kern w:val="0"/>
                <w:sz w:val="22"/>
                <w:szCs w:val="22"/>
                <w:u w:val="none"/>
                <w:lang w:val="en-US" w:eastAsia="zh-CN" w:bidi="ar"/>
              </w:rPr>
              <w:t>1546140元（含3%税）</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3"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2093"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天内</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2093"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3"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3"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0</w:t>
            </w:r>
          </w:p>
        </w:tc>
        <w:tc>
          <w:tcPr>
            <w:tcW w:w="2093"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FF0000"/>
                <w:szCs w:val="21"/>
              </w:rPr>
              <w:t>正本一份</w:t>
            </w:r>
            <w:r>
              <w:rPr>
                <w:rFonts w:hint="eastAsia" w:ascii="宋体" w:hAnsi="宋体"/>
                <w:color w:val="FF0000"/>
                <w:szCs w:val="21"/>
                <w:lang w:eastAsia="zh-CN"/>
              </w:rPr>
              <w:t>，副本一份</w:t>
            </w:r>
            <w:bookmarkStart w:id="2" w:name="_GoBack"/>
            <w:bookmarkEnd w:id="2"/>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11</w:t>
            </w:r>
          </w:p>
        </w:tc>
        <w:tc>
          <w:tcPr>
            <w:tcW w:w="2093"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3"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23</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26</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w:t>
            </w:r>
          </w:p>
        </w:tc>
        <w:tc>
          <w:tcPr>
            <w:tcW w:w="2093"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5FF51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3"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8" w:space="0"/>
            </w:tcBorders>
            <w:vAlign w:val="center"/>
          </w:tcPr>
          <w:p w14:paraId="630E64FE">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7" w:type="dxa"/>
            <w:tcBorders>
              <w:top w:val="single" w:color="auto" w:sz="4" w:space="0"/>
              <w:left w:val="single" w:color="auto" w:sz="4" w:space="0"/>
              <w:bottom w:val="single" w:color="auto" w:sz="4" w:space="0"/>
              <w:right w:val="single" w:color="auto" w:sz="8" w:space="0"/>
            </w:tcBorders>
            <w:vAlign w:val="center"/>
          </w:tcPr>
          <w:p w14:paraId="0BFF1FFC">
            <w:pPr>
              <w:spacing w:line="360" w:lineRule="auto"/>
              <w:jc w:val="center"/>
            </w:pPr>
            <w:r>
              <w:rPr>
                <w:rFonts w:hint="eastAsia" w:ascii="宋体" w:hAnsi="宋体"/>
                <w:color w:val="000000" w:themeColor="text1"/>
                <w:szCs w:val="21"/>
                <w14:textFill>
                  <w14:solidFill>
                    <w14:schemeClr w14:val="tx1"/>
                  </w14:solidFill>
                </w14:textFill>
              </w:rPr>
              <w:t>地址</w:t>
            </w:r>
          </w:p>
        </w:tc>
        <w:tc>
          <w:tcPr>
            <w:tcW w:w="3111" w:type="dxa"/>
            <w:tcBorders>
              <w:top w:val="single" w:color="auto" w:sz="4" w:space="0"/>
              <w:left w:val="single" w:color="auto" w:sz="4" w:space="0"/>
              <w:bottom w:val="single" w:color="auto" w:sz="4" w:space="0"/>
              <w:right w:val="single" w:color="auto" w:sz="8" w:space="0"/>
            </w:tcBorders>
            <w:vAlign w:val="center"/>
          </w:tcPr>
          <w:p w14:paraId="72B0B3FC">
            <w:pPr>
              <w:spacing w:line="380" w:lineRule="exact"/>
            </w:pPr>
            <w:r>
              <w:rPr>
                <w:rFonts w:hint="eastAsia" w:ascii="宋体" w:hAnsi="宋体"/>
                <w:color w:val="000000" w:themeColor="text1"/>
                <w:szCs w:val="21"/>
                <w14:textFill>
                  <w14:solidFill>
                    <w14:schemeClr w14:val="tx1"/>
                  </w14:solidFill>
                </w14:textFill>
              </w:rPr>
              <w:t>扬州市上善建设工程有限公司一楼会议室</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3" w:type="dxa"/>
            <w:tcBorders>
              <w:top w:val="single" w:color="auto" w:sz="4" w:space="0"/>
              <w:left w:val="single" w:color="auto" w:sz="8" w:space="0"/>
              <w:bottom w:val="single" w:color="auto" w:sz="4" w:space="0"/>
              <w:right w:val="single" w:color="auto" w:sz="4" w:space="0"/>
            </w:tcBorders>
            <w:vAlign w:val="center"/>
          </w:tcPr>
          <w:p w14:paraId="05A4052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4D99DBA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04C76F6">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30EA171">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3" w:type="dxa"/>
            <w:tcBorders>
              <w:top w:val="single" w:color="auto" w:sz="4" w:space="0"/>
              <w:left w:val="single" w:color="auto" w:sz="4" w:space="0"/>
              <w:bottom w:val="single" w:color="auto" w:sz="4" w:space="0"/>
              <w:right w:val="single" w:color="auto" w:sz="4" w:space="0"/>
            </w:tcBorders>
            <w:vAlign w:val="center"/>
          </w:tcPr>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86C0235">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C7B5EB0">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扬州市上善建设工程有限公司</w:t>
            </w:r>
          </w:p>
          <w:p w14:paraId="5EB8F291">
            <w:pPr>
              <w:pStyle w:val="6"/>
              <w:ind w:left="0" w:leftChars="0"/>
              <w:rPr>
                <w:rFonts w:ascii="宋体" w:hAnsi="宋体"/>
                <w:color w:val="000000" w:themeColor="text1"/>
                <w:szCs w:val="21"/>
                <w14:textFill>
                  <w14:solidFill>
                    <w14:schemeClr w14:val="tx1"/>
                  </w14:solidFill>
                </w14:textFill>
              </w:rPr>
            </w:pP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3"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8153AEC">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62889BEB">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09D1FC2B">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7FFC3F8E">
            <w:pPr>
              <w:adjustRightInd w:val="0"/>
              <w:spacing w:line="380" w:lineRule="exact"/>
              <w:rPr>
                <w:color w:val="000000" w:themeColor="text1"/>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08540451">
      <w:pPr>
        <w:autoSpaceDE w:val="0"/>
        <w:autoSpaceDN w:val="0"/>
        <w:adjustRightInd w:val="0"/>
        <w:snapToGrid w:val="0"/>
        <w:spacing w:line="480" w:lineRule="exact"/>
        <w:ind w:firstLine="211" w:firstLineChars="100"/>
        <w:rPr>
          <w:rFonts w:hint="eastAsia"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2025-2027年度市管道路设施养护项目（仪扬河大桥桥下空间应急基地板房）</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firstLine="422" w:firstLineChars="20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ascii="宋体" w:hAnsi="宋体"/>
          <w:b/>
          <w:bCs/>
          <w:color w:val="000000" w:themeColor="text1"/>
          <w:szCs w:val="21"/>
          <w:lang w:val="en-US" w:eastAsia="zh-CN"/>
          <w14:textFill>
            <w14:solidFill>
              <w14:schemeClr w14:val="tx1"/>
            </w14:solidFill>
          </w14:textFill>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szCs w:val="21"/>
          <w:lang w:val="en-US" w:eastAsia="zh-CN"/>
        </w:rPr>
        <w:t>2025-2027年度市管道路设施养护项目</w:t>
      </w:r>
      <w:r>
        <w:rPr>
          <w:rFonts w:hint="eastAsia" w:ascii="宋体" w:hAnsi="宋体"/>
          <w:b/>
          <w:bCs/>
          <w:color w:val="000000" w:themeColor="text1"/>
          <w:szCs w:val="21"/>
          <w:lang w:val="en-US" w:eastAsia="zh-CN"/>
          <w14:textFill>
            <w14:solidFill>
              <w14:schemeClr w14:val="tx1"/>
            </w14:solidFill>
          </w14:textFill>
        </w:rPr>
        <w:t>（仪扬河大桥桥下空间应急基地板房）</w:t>
      </w:r>
    </w:p>
    <w:tbl>
      <w:tblPr>
        <w:tblStyle w:val="1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186"/>
        <w:gridCol w:w="1117"/>
        <w:gridCol w:w="784"/>
        <w:gridCol w:w="759"/>
        <w:gridCol w:w="1344"/>
        <w:gridCol w:w="1056"/>
        <w:gridCol w:w="2129"/>
      </w:tblGrid>
      <w:tr w14:paraId="144C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1019D9E">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序号</w:t>
            </w:r>
          </w:p>
        </w:tc>
        <w:tc>
          <w:tcPr>
            <w:tcW w:w="2186" w:type="dxa"/>
            <w:vAlign w:val="center"/>
          </w:tcPr>
          <w:p w14:paraId="3B0A6FAE">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材料名称</w:t>
            </w:r>
          </w:p>
        </w:tc>
        <w:tc>
          <w:tcPr>
            <w:tcW w:w="1117" w:type="dxa"/>
            <w:vAlign w:val="center"/>
          </w:tcPr>
          <w:p w14:paraId="05A19FA1">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规格</w:t>
            </w:r>
          </w:p>
        </w:tc>
        <w:tc>
          <w:tcPr>
            <w:tcW w:w="784" w:type="dxa"/>
            <w:vAlign w:val="center"/>
          </w:tcPr>
          <w:p w14:paraId="4B43AC11">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单位</w:t>
            </w:r>
          </w:p>
        </w:tc>
        <w:tc>
          <w:tcPr>
            <w:tcW w:w="759" w:type="dxa"/>
            <w:vAlign w:val="center"/>
          </w:tcPr>
          <w:p w14:paraId="2E537BB1">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数量</w:t>
            </w:r>
          </w:p>
        </w:tc>
        <w:tc>
          <w:tcPr>
            <w:tcW w:w="1344" w:type="dxa"/>
            <w:vAlign w:val="center"/>
          </w:tcPr>
          <w:p w14:paraId="67035B8C">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最高限价（含3%税）</w:t>
            </w:r>
          </w:p>
        </w:tc>
        <w:tc>
          <w:tcPr>
            <w:tcW w:w="1056" w:type="dxa"/>
            <w:vAlign w:val="center"/>
          </w:tcPr>
          <w:p w14:paraId="70181BFC">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总价</w:t>
            </w:r>
          </w:p>
        </w:tc>
        <w:tc>
          <w:tcPr>
            <w:tcW w:w="2129" w:type="dxa"/>
            <w:vAlign w:val="center"/>
          </w:tcPr>
          <w:p w14:paraId="6C684AA5">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备注</w:t>
            </w:r>
          </w:p>
        </w:tc>
      </w:tr>
      <w:tr w14:paraId="70A3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60" w:type="dxa"/>
            <w:vAlign w:val="center"/>
          </w:tcPr>
          <w:p w14:paraId="122B7551">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w:t>
            </w:r>
          </w:p>
        </w:tc>
        <w:tc>
          <w:tcPr>
            <w:tcW w:w="2186" w:type="dxa"/>
            <w:vAlign w:val="center"/>
          </w:tcPr>
          <w:p w14:paraId="29625C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板房</w:t>
            </w:r>
          </w:p>
        </w:tc>
        <w:tc>
          <w:tcPr>
            <w:tcW w:w="1117" w:type="dxa"/>
            <w:vAlign w:val="center"/>
          </w:tcPr>
          <w:p w14:paraId="3F8B19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4" w:type="dxa"/>
            <w:vAlign w:val="center"/>
          </w:tcPr>
          <w:p w14:paraId="103BCA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59" w:type="dxa"/>
            <w:vAlign w:val="center"/>
          </w:tcPr>
          <w:p w14:paraId="3EEEB4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706</w:t>
            </w:r>
          </w:p>
        </w:tc>
        <w:tc>
          <w:tcPr>
            <w:tcW w:w="1344" w:type="dxa"/>
            <w:vAlign w:val="center"/>
          </w:tcPr>
          <w:p w14:paraId="11FA03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2190 </w:t>
            </w:r>
          </w:p>
        </w:tc>
        <w:tc>
          <w:tcPr>
            <w:tcW w:w="1056" w:type="dxa"/>
            <w:shd w:val="clear" w:color="auto" w:fill="auto"/>
            <w:vAlign w:val="center"/>
          </w:tcPr>
          <w:p w14:paraId="0F78CF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1546140</w:t>
            </w:r>
          </w:p>
        </w:tc>
        <w:tc>
          <w:tcPr>
            <w:tcW w:w="2129" w:type="dxa"/>
            <w:vAlign w:val="center"/>
          </w:tcPr>
          <w:p w14:paraId="30E0C1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安装</w:t>
            </w:r>
          </w:p>
        </w:tc>
      </w:tr>
      <w:tr w14:paraId="52FC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50" w:type="dxa"/>
            <w:gridSpan w:val="6"/>
            <w:vAlign w:val="center"/>
          </w:tcPr>
          <w:p w14:paraId="6D5E46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056" w:type="dxa"/>
            <w:vAlign w:val="center"/>
          </w:tcPr>
          <w:p w14:paraId="5FE6CC84">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1546140</w:t>
            </w:r>
          </w:p>
        </w:tc>
        <w:tc>
          <w:tcPr>
            <w:tcW w:w="2129" w:type="dxa"/>
          </w:tcPr>
          <w:p w14:paraId="4BC997AB">
            <w:pPr>
              <w:rPr>
                <w:rFonts w:hint="eastAsia" w:ascii="宋体" w:hAnsi="宋体"/>
                <w:b/>
                <w:szCs w:val="21"/>
                <w:vertAlign w:val="baseline"/>
                <w:lang w:val="en-US" w:eastAsia="zh-CN"/>
              </w:rPr>
            </w:pPr>
          </w:p>
        </w:tc>
      </w:tr>
    </w:tbl>
    <w:p w14:paraId="396C4A57">
      <w:pPr>
        <w:numPr>
          <w:ilvl w:val="0"/>
          <w:numId w:val="0"/>
        </w:numPr>
        <w:autoSpaceDE w:val="0"/>
        <w:autoSpaceDN w:val="0"/>
        <w:adjustRightInd w:val="0"/>
        <w:snapToGrid w:val="0"/>
        <w:spacing w:line="480" w:lineRule="exact"/>
        <w:ind w:leftChars="0" w:firstLine="420" w:firstLineChars="200"/>
        <w:rPr>
          <w:rFonts w:hint="eastAsia" w:ascii="宋体" w:hAnsi="宋体"/>
          <w:color w:val="auto"/>
          <w:szCs w:val="21"/>
          <w:lang w:val="en-US" w:eastAsia="zh-CN"/>
        </w:rPr>
      </w:pPr>
      <w:r>
        <w:rPr>
          <w:rFonts w:hint="eastAsia" w:ascii="宋体" w:hAnsi="宋体"/>
          <w:color w:val="auto"/>
          <w:szCs w:val="21"/>
          <w:lang w:val="en-US" w:eastAsia="zh-CN"/>
        </w:rPr>
        <w:t>3、设计与技术要求：</w:t>
      </w:r>
    </w:p>
    <w:p w14:paraId="1D09E083">
      <w:pPr>
        <w:pStyle w:val="6"/>
        <w:numPr>
          <w:ilvl w:val="0"/>
          <w:numId w:val="0"/>
        </w:numPr>
        <w:ind w:leftChars="0"/>
        <w:rPr>
          <w:rFonts w:hint="eastAsia"/>
          <w:lang w:val="en-US" w:eastAsia="zh-CN"/>
        </w:rPr>
      </w:pPr>
      <w:r>
        <w:rPr>
          <w:rFonts w:hint="eastAsia"/>
          <w:lang w:val="en-US" w:eastAsia="zh-CN"/>
        </w:rPr>
        <w:t xml:space="preserve">    3.1 办公区设置：指挥调度室（1间）：实现实时指挥、车辆监控、应急调度功能，尺寸为40平方米，净高度3米。配空调柜机（大三匹）。综合办公室（1间）： 容纳管理人员日常办公，尺寸为48平方米，净高度3米，配备空调柜机（大三匹）。领导办公室（1间）：尺寸为32平方米，净高度3米，配备配备空调柜机（大三匹）。会议室（1间）： 尺寸为128平方米，净高度3米，配备空调柜机（大三匹）。</w:t>
      </w:r>
    </w:p>
    <w:p w14:paraId="7A6D90B5">
      <w:pPr>
        <w:pStyle w:val="6"/>
        <w:numPr>
          <w:ilvl w:val="0"/>
          <w:numId w:val="0"/>
        </w:numPr>
        <w:ind w:leftChars="0"/>
        <w:rPr>
          <w:rFonts w:hint="eastAsia" w:ascii="Times New Roman" w:hAnsi="Times New Roman" w:eastAsia="宋体" w:cs="Times New Roman"/>
          <w:lang w:val="en-US" w:eastAsia="zh-CN"/>
        </w:rPr>
      </w:pPr>
      <w:r>
        <w:rPr>
          <w:rFonts w:hint="eastAsia"/>
          <w:lang w:val="en-US" w:eastAsia="zh-CN"/>
        </w:rPr>
        <w:t xml:space="preserve">   3.2生活区设置：厨餐厅（1间）： 尺寸为54平方米，净高度3米。配备冰箱、冰柜、单头煤气灶、双头煤气灶、开水器、操作台、双门消毒柜、四层货架、双眼水池、单眼水池、无指纹六层蒸箱、空调柜机（大三匹）等。卫浴、更衣室与厕所区域：尺寸为48平方米，净高度3米。男卫配备2个蹲坑和2个小便池；女卫配备2个蹲坑和一个拖把池；洗浴区域配备一组热水器（100L）及三个喷淋，配备一组浴霸，三个更衣</w:t>
      </w:r>
      <w:r>
        <w:rPr>
          <w:rFonts w:hint="eastAsia" w:ascii="Times New Roman" w:hAnsi="Times New Roman" w:eastAsia="宋体" w:cs="Times New Roman"/>
          <w:lang w:val="en-US" w:eastAsia="zh-CN"/>
        </w:rPr>
        <w:t xml:space="preserve">柜。    </w:t>
      </w:r>
    </w:p>
    <w:p w14:paraId="1C3F3E58">
      <w:pPr>
        <w:ind w:firstLine="210" w:firstLineChars="1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宿舍（6间）：合计尺寸为108平方米，净高度3米，每间宿舍配备挂壁空调（大1.5匹）。</w:t>
      </w:r>
    </w:p>
    <w:p w14:paraId="1CEE3492">
      <w:pPr>
        <w:ind w:firstLine="210" w:firstLineChars="100"/>
        <w:rPr>
          <w:rFonts w:hint="eastAsia"/>
          <w:lang w:val="en-US" w:eastAsia="zh-CN"/>
        </w:rPr>
      </w:pPr>
      <w:r>
        <w:rPr>
          <w:rFonts w:hint="eastAsia" w:cs="Times New Roman"/>
          <w:kern w:val="2"/>
          <w:sz w:val="21"/>
          <w:szCs w:val="24"/>
          <w:lang w:val="en-US" w:eastAsia="zh-CN" w:bidi="ar-SA"/>
        </w:rPr>
        <w:t>3.4</w:t>
      </w:r>
      <w:r>
        <w:rPr>
          <w:rFonts w:hint="eastAsia" w:ascii="Times New Roman" w:hAnsi="Times New Roman" w:eastAsia="宋体" w:cs="Times New Roman"/>
          <w:kern w:val="2"/>
          <w:sz w:val="21"/>
          <w:szCs w:val="24"/>
          <w:lang w:val="en-US" w:eastAsia="zh-CN" w:bidi="ar-SA"/>
        </w:rPr>
        <w:t xml:space="preserve"> 库房（1间）：尺寸为248平方米，净高度3.5米。</w:t>
      </w:r>
    </w:p>
    <w:p w14:paraId="424CE600">
      <w:pPr>
        <w:pStyle w:val="6"/>
        <w:numPr>
          <w:ilvl w:val="0"/>
          <w:numId w:val="0"/>
        </w:numPr>
        <w:ind w:firstLine="210" w:firstLineChars="1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eastAsia" w:cs="Times New Roman"/>
          <w:lang w:val="en-US" w:eastAsia="zh-CN"/>
        </w:rPr>
        <w:t>5</w:t>
      </w:r>
      <w:r>
        <w:rPr>
          <w:rFonts w:hint="default" w:ascii="Times New Roman" w:hAnsi="Times New Roman" w:eastAsia="宋体" w:cs="Times New Roman"/>
          <w:lang w:val="en-US" w:eastAsia="zh-CN"/>
        </w:rPr>
        <w:t>本房屋配备1个一级柜、2个二级柜，主电路</w:t>
      </w:r>
      <w:r>
        <w:rPr>
          <w:rFonts w:hint="eastAsia" w:cs="Times New Roman"/>
          <w:lang w:val="en-US" w:eastAsia="zh-CN"/>
        </w:rPr>
        <w:t>/</w:t>
      </w:r>
      <w:r>
        <w:rPr>
          <w:rFonts w:hint="default" w:ascii="Times New Roman" w:hAnsi="Times New Roman" w:eastAsia="宋体" w:cs="Times New Roman"/>
          <w:lang w:val="en-US" w:eastAsia="zh-CN"/>
        </w:rPr>
        <w:t>副电线：纯铜护套线6平方</w:t>
      </w:r>
      <w:r>
        <w:rPr>
          <w:rFonts w:hint="eastAsia" w:cs="Times New Roman"/>
          <w:lang w:val="en-US" w:eastAsia="zh-CN"/>
        </w:rPr>
        <w:t>，</w:t>
      </w:r>
      <w:r>
        <w:rPr>
          <w:rFonts w:hint="default" w:ascii="Times New Roman" w:hAnsi="Times New Roman" w:eastAsia="宋体" w:cs="Times New Roman"/>
          <w:lang w:val="en-US" w:eastAsia="zh-CN"/>
        </w:rPr>
        <w:t>电缆品牌采用一线品牌，电缆符合整个基地的用电要求。所有的电器及办公用品均为知名品牌。配备整个基地的监控设备和中控室。配备上善建设工程有限公司应急基地字样的金属字门头。自行考虑地面停车标线。</w:t>
      </w:r>
    </w:p>
    <w:p w14:paraId="3FEC89F3">
      <w:pPr>
        <w:pStyle w:val="6"/>
        <w:numPr>
          <w:ilvl w:val="0"/>
          <w:numId w:val="0"/>
        </w:numPr>
        <w:ind w:firstLine="210" w:firstLineChars="1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eastAsia" w:cs="Times New Roman"/>
          <w:lang w:val="en-US" w:eastAsia="zh-CN"/>
        </w:rPr>
        <w:t>6</w:t>
      </w:r>
      <w:r>
        <w:rPr>
          <w:rFonts w:hint="default" w:ascii="Times New Roman" w:hAnsi="Times New Roman" w:eastAsia="宋体" w:cs="Times New Roman"/>
          <w:lang w:val="en-US" w:eastAsia="zh-CN"/>
        </w:rPr>
        <w:t>本房屋可抗震9级，抗风12级，以上所有房间配备空调以及强弱电布线，本工程主体采用钢结构框架，主要材料为120mm×120mm×2.75mm镀锌方管，内部支撑构件选用40mm×80mm×1.2mm方管。建筑外墙装饰采用金属雕花板，内墙为60公分竹木纤维板，中间填充75mm厚防火岩棉块，整体结构在具备优良保温与隔音性能的同时，达到A级防火标准。</w:t>
      </w:r>
    </w:p>
    <w:p w14:paraId="54B55069">
      <w:pPr>
        <w:pStyle w:val="6"/>
        <w:numPr>
          <w:ilvl w:val="0"/>
          <w:numId w:val="0"/>
        </w:numPr>
        <w:ind w:firstLine="210" w:firstLineChars="1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eastAsia" w:cs="Times New Roman"/>
          <w:lang w:val="en-US" w:eastAsia="zh-CN"/>
        </w:rPr>
        <w:t>7</w:t>
      </w:r>
      <w:r>
        <w:rPr>
          <w:rFonts w:hint="default" w:ascii="Times New Roman" w:hAnsi="Times New Roman" w:eastAsia="宋体" w:cs="Times New Roman"/>
          <w:lang w:val="en-US" w:eastAsia="zh-CN"/>
        </w:rPr>
        <w:t>屋顶部分采用0.8mm厚镀锌瓦楞板，结构牢固，耐久性强。室内吊顶选用400mm宽集成墙板，地面基层为15mm玻镁板，面层铺设800×800mm地砖。门窗配置方面，设有防盗入户门及55mm隔热断桥窗，配以双层中空钢化玻璃，进一步提升建筑的节能与安全性能。此外，所有外露钢结构均经过专业防锈处理，依次涂刷防锈漆、防腐底漆及氟碳面漆，确保其长期耐候性与美观度。</w:t>
      </w:r>
    </w:p>
    <w:p w14:paraId="03FA2E0D">
      <w:pPr>
        <w:ind w:firstLine="210" w:firstLineChars="100"/>
        <w:rPr>
          <w:rFonts w:hint="eastAsia"/>
          <w:lang w:val="en-US" w:eastAsia="zh-CN"/>
        </w:rPr>
      </w:pPr>
      <w:r>
        <w:rPr>
          <w:rFonts w:hint="eastAsia"/>
          <w:lang w:val="en-US" w:eastAsia="zh-CN"/>
        </w:rPr>
        <w:t>3.8本房屋地面需进行混凝土找平层施工（厚度10公分），根据现场实际情况进行调整。</w:t>
      </w:r>
    </w:p>
    <w:p w14:paraId="3E0C5445">
      <w:pPr>
        <w:ind w:firstLine="210" w:firstLineChars="100"/>
        <w:rPr>
          <w:rFonts w:hint="default"/>
          <w:lang w:val="en-US" w:eastAsia="zh-CN"/>
        </w:rPr>
      </w:pPr>
      <w:r>
        <w:rPr>
          <w:rFonts w:hint="eastAsia"/>
          <w:lang w:val="en-US" w:eastAsia="zh-CN"/>
        </w:rPr>
        <w:t>3.9本房屋配备路灯6盏、监控4个探头、1个主机。</w:t>
      </w:r>
    </w:p>
    <w:p w14:paraId="4E9C7815">
      <w:pPr>
        <w:ind w:firstLine="210" w:firstLineChars="100"/>
        <w:rPr>
          <w:rFonts w:hint="eastAsia"/>
          <w:lang w:val="en-US" w:eastAsia="zh-CN"/>
        </w:rPr>
      </w:pPr>
      <w:r>
        <w:rPr>
          <w:rFonts w:hint="eastAsia"/>
          <w:lang w:val="en-US" w:eastAsia="zh-CN"/>
        </w:rPr>
        <w:t>3.10布置示意图：</w:t>
      </w:r>
    </w:p>
    <w:p w14:paraId="79FEBCC3">
      <w:pPr>
        <w:numPr>
          <w:ilvl w:val="0"/>
          <w:numId w:val="0"/>
        </w:numPr>
        <w:autoSpaceDE w:val="0"/>
        <w:autoSpaceDN w:val="0"/>
        <w:adjustRightInd w:val="0"/>
        <w:snapToGrid w:val="0"/>
        <w:spacing w:line="240" w:lineRule="auto"/>
        <w:rPr>
          <w:rFonts w:hint="default" w:ascii="宋体" w:hAnsi="宋体"/>
          <w:color w:val="auto"/>
          <w:szCs w:val="21"/>
          <w:lang w:val="en-US" w:eastAsia="zh-CN"/>
        </w:rPr>
      </w:pPr>
      <w:r>
        <w:rPr>
          <w:rFonts w:hint="eastAsia" w:ascii="宋体" w:hAnsi="宋体"/>
          <w:color w:val="auto"/>
          <w:szCs w:val="21"/>
          <w:lang w:val="en-US" w:eastAsia="zh-CN"/>
        </w:rPr>
        <w:t xml:space="preserve">                              </w:t>
      </w:r>
      <w:r>
        <w:rPr>
          <w:rFonts w:hint="default" w:ascii="宋体" w:hAnsi="宋体"/>
          <w:color w:val="auto"/>
          <w:szCs w:val="21"/>
          <w:lang w:val="en-US" w:eastAsia="zh-CN"/>
        </w:rPr>
        <w:drawing>
          <wp:inline distT="0" distB="0" distL="114300" distR="114300">
            <wp:extent cx="2601595" cy="3891280"/>
            <wp:effectExtent l="0" t="0" r="0" b="0"/>
            <wp:docPr id="7" name="图片 7" descr="平面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平面图_01"/>
                    <pic:cNvPicPr>
                      <a:picLocks noChangeAspect="1"/>
                    </pic:cNvPicPr>
                  </pic:nvPicPr>
                  <pic:blipFill>
                    <a:blip r:embed="rId10"/>
                    <a:srcRect l="4223" t="7109" r="7953"/>
                    <a:stretch>
                      <a:fillRect/>
                    </a:stretch>
                  </pic:blipFill>
                  <pic:spPr>
                    <a:xfrm>
                      <a:off x="0" y="0"/>
                      <a:ext cx="2601595" cy="3891280"/>
                    </a:xfrm>
                    <a:prstGeom prst="rect">
                      <a:avLst/>
                    </a:prstGeom>
                  </pic:spPr>
                </pic:pic>
              </a:graphicData>
            </a:graphic>
          </wp:inline>
        </w:drawing>
      </w:r>
    </w:p>
    <w:p w14:paraId="1AAF8C29">
      <w:pPr>
        <w:numPr>
          <w:ilvl w:val="0"/>
          <w:numId w:val="0"/>
        </w:numPr>
        <w:autoSpaceDE w:val="0"/>
        <w:autoSpaceDN w:val="0"/>
        <w:adjustRightInd w:val="0"/>
        <w:snapToGrid w:val="0"/>
        <w:spacing w:line="240" w:lineRule="auto"/>
        <w:ind w:firstLine="210" w:firstLineChars="100"/>
        <w:rPr>
          <w:rFonts w:hint="eastAsia" w:ascii="宋体" w:hAnsi="宋体"/>
          <w:color w:val="auto"/>
          <w:szCs w:val="21"/>
          <w:lang w:val="en-US" w:eastAsia="zh-CN"/>
        </w:rPr>
      </w:pPr>
      <w:r>
        <w:rPr>
          <w:rFonts w:hint="eastAsia" w:ascii="宋体" w:hAnsi="宋体"/>
          <w:color w:val="auto"/>
          <w:szCs w:val="21"/>
          <w:lang w:val="en-US" w:eastAsia="zh-CN"/>
        </w:rPr>
        <w:t>3.11投标单位需对布置示意图进行深化设计,满足招标人的功能及使用要求，设计图纸图纸需经招标人确认。</w:t>
      </w:r>
    </w:p>
    <w:p w14:paraId="7D49CB17">
      <w:pPr>
        <w:numPr>
          <w:ilvl w:val="0"/>
          <w:numId w:val="0"/>
        </w:numPr>
        <w:autoSpaceDE w:val="0"/>
        <w:autoSpaceDN w:val="0"/>
        <w:adjustRightInd w:val="0"/>
        <w:snapToGrid w:val="0"/>
        <w:spacing w:line="480" w:lineRule="exact"/>
        <w:ind w:firstLine="630" w:firstLineChars="300"/>
        <w:rPr>
          <w:rFonts w:hint="default" w:ascii="宋体" w:hAnsi="宋体"/>
          <w:color w:val="auto"/>
          <w:szCs w:val="21"/>
          <w:lang w:val="en-US" w:eastAsia="zh-CN"/>
        </w:rPr>
      </w:pPr>
      <w:r>
        <w:rPr>
          <w:rFonts w:hint="eastAsia" w:ascii="宋体" w:hAnsi="宋体"/>
          <w:color w:val="auto"/>
          <w:szCs w:val="21"/>
          <w:lang w:val="en-US" w:eastAsia="zh-CN"/>
        </w:rPr>
        <w:t>4、结算方式：中标材料单价（含3%税）*对应材料数量=结算总价（含3%税）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01499DF0">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w:t>
      </w:r>
      <w:r>
        <w:rPr>
          <w:rFonts w:hint="eastAsia" w:ascii="宋体" w:hAnsi="宋体"/>
          <w:color w:val="FF0000"/>
          <w:szCs w:val="21"/>
        </w:rPr>
        <w:t>正本一份</w:t>
      </w:r>
      <w:r>
        <w:rPr>
          <w:rFonts w:hint="eastAsia" w:ascii="宋体" w:hAnsi="宋体"/>
          <w:color w:val="FF0000"/>
          <w:szCs w:val="21"/>
          <w:lang w:eastAsia="zh-CN"/>
        </w:rPr>
        <w:t>，副本一份，正副</w:t>
      </w:r>
      <w:r>
        <w:rPr>
          <w:rFonts w:hint="eastAsia" w:ascii="宋体" w:hAnsi="宋体"/>
          <w:color w:val="FF0000"/>
          <w:szCs w:val="21"/>
        </w:rPr>
        <w:t>本必须用不能擦去的墨水书写或打印，正</w:t>
      </w:r>
      <w:r>
        <w:rPr>
          <w:rFonts w:hint="eastAsia" w:ascii="宋体" w:hAnsi="宋体"/>
          <w:color w:val="FF0000"/>
          <w:szCs w:val="21"/>
          <w:lang w:eastAsia="zh-CN"/>
        </w:rPr>
        <w:t>副</w:t>
      </w:r>
      <w:r>
        <w:rPr>
          <w:rFonts w:hint="eastAsia" w:ascii="宋体" w:hAnsi="宋体"/>
          <w:color w:val="FF0000"/>
          <w:szCs w:val="21"/>
        </w:rPr>
        <w:t>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eastAsia="zh-CN"/>
        </w:rPr>
        <w:t>，</w:t>
      </w:r>
      <w:r>
        <w:rPr>
          <w:rFonts w:hint="eastAsia" w:ascii="宋体" w:hAnsi="宋体"/>
          <w:color w:val="auto"/>
          <w:szCs w:val="21"/>
          <w:lang w:val="en-US" w:eastAsia="zh-CN"/>
        </w:rPr>
        <w:t>投标价格为材料送达招标方指定地点的价格，报价含</w:t>
      </w:r>
      <w:r>
        <w:rPr>
          <w:rFonts w:hint="eastAsia" w:ascii="宋体" w:hAnsi="宋体"/>
          <w:color w:val="FF0000"/>
          <w:szCs w:val="21"/>
          <w:lang w:val="en-US" w:eastAsia="zh-CN"/>
        </w:rPr>
        <w:t>运费、卸货、安装、设计以及有关的安全文明措施等费用</w:t>
      </w:r>
      <w:r>
        <w:rPr>
          <w:rFonts w:hint="eastAsia" w:ascii="宋体" w:hAnsi="宋体"/>
          <w:color w:val="auto"/>
          <w:szCs w:val="21"/>
          <w:lang w:val="en-US" w:eastAsia="zh-CN"/>
        </w:rPr>
        <w:t>，须提供投标书及报价清单</w:t>
      </w:r>
      <w:r>
        <w:rPr>
          <w:rFonts w:hint="eastAsia" w:ascii="宋体" w:hAnsi="宋体"/>
          <w:color w:val="auto"/>
          <w:szCs w:val="21"/>
        </w:rPr>
        <w:t>。</w:t>
      </w:r>
    </w:p>
    <w:p w14:paraId="73CE1FFE">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FF0000"/>
          <w:szCs w:val="21"/>
          <w:lang w:val="en-US" w:eastAsia="zh-CN"/>
        </w:rPr>
        <w:t>3、</w:t>
      </w:r>
      <w:r>
        <w:rPr>
          <w:rFonts w:hint="eastAsia" w:ascii="宋体" w:hAnsi="宋体"/>
          <w:color w:val="FF0000"/>
          <w:szCs w:val="21"/>
        </w:rPr>
        <w:t>投标</w:t>
      </w:r>
      <w:r>
        <w:rPr>
          <w:rFonts w:hint="eastAsia" w:ascii="宋体" w:hAnsi="宋体"/>
          <w:color w:val="FF0000"/>
          <w:szCs w:val="21"/>
          <w:lang w:eastAsia="zh-CN"/>
        </w:rPr>
        <w:t>单位</w:t>
      </w:r>
      <w:r>
        <w:rPr>
          <w:rFonts w:hint="eastAsia" w:ascii="宋体" w:hAnsi="宋体"/>
          <w:color w:val="FF0000"/>
          <w:szCs w:val="21"/>
        </w:rPr>
        <w:t>的投标报价，所有投标报价以人民币表示，投标人投标函报价单位为元，保留小数点后两位。</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4</w:t>
      </w:r>
      <w:r>
        <w:rPr>
          <w:rFonts w:hint="eastAsia" w:ascii="宋体" w:hAnsi="宋体"/>
          <w:szCs w:val="21"/>
        </w:rPr>
        <w:t>、投标单位须具有独立法人资格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5933EFD8">
      <w:pPr>
        <w:pStyle w:val="19"/>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5、投标单位须提供质量承诺书。</w:t>
      </w:r>
    </w:p>
    <w:p w14:paraId="676A5744">
      <w:pPr>
        <w:pStyle w:val="19"/>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6、包装要求：所有包装必须经得起陆上,水上的运输，卖方应对包装的所供货物负责，使其到达目的地后完整无缺，卖方负责提供所有的包装（注明免费）。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480FADF2">
      <w:pPr>
        <w:autoSpaceDE w:val="0"/>
        <w:autoSpaceDN w:val="0"/>
        <w:adjustRightInd w:val="0"/>
        <w:snapToGrid w:val="0"/>
        <w:spacing w:line="480" w:lineRule="exact"/>
        <w:ind w:firstLine="561"/>
        <w:rPr>
          <w:rFonts w:hint="eastAsia" w:ascii="宋体" w:hAnsi="宋体"/>
          <w:color w:val="auto"/>
          <w:szCs w:val="21"/>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lang w:val="en-US" w:eastAsia="zh-CN"/>
        </w:rPr>
        <w:t>按照甲方需求量分批次供货，每批次供货安装完成且水电调试完毕后经甲方确认后付至该批次实际供货量70%（不超过合同价的70%），每批次供货安装结束经甲方验收合格后付至该批次实际供货量97%，3年质保期满后，付清尾款（无息）。</w:t>
      </w:r>
    </w:p>
    <w:p w14:paraId="2F118E52">
      <w:pPr>
        <w:spacing w:line="360" w:lineRule="auto"/>
        <w:ind w:firstLine="630" w:firstLineChars="300"/>
        <w:jc w:val="left"/>
        <w:rPr>
          <w:rFonts w:hint="eastAsia"/>
          <w:lang w:val="en-US" w:eastAsia="zh-CN"/>
        </w:rPr>
      </w:pPr>
      <w:r>
        <w:rPr>
          <w:rFonts w:hint="eastAsia" w:ascii="宋体" w:hAnsi="宋体" w:cs="Times New Roman"/>
          <w:color w:val="auto"/>
          <w:szCs w:val="21"/>
          <w:lang w:val="en-US" w:eastAsia="zh-CN"/>
        </w:rPr>
        <w:t>⑧</w:t>
      </w:r>
      <w:r>
        <w:rPr>
          <w:rFonts w:hint="eastAsia" w:ascii="宋体" w:hAnsi="宋体"/>
          <w:color w:val="000000"/>
          <w:szCs w:val="21"/>
        </w:rPr>
        <w:t>违约责任。</w:t>
      </w:r>
    </w:p>
    <w:p w14:paraId="27296A0A">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⑨解决合同纠纷的方式：因履行本合同发生争议，如当事人协商不成，由</w:t>
      </w:r>
    </w:p>
    <w:p w14:paraId="68812748">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lang w:eastAsia="zh-CN"/>
        </w:rPr>
        <w:t>（一）</w:t>
      </w: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7243AB8F">
      <w:pPr>
        <w:autoSpaceDE w:val="0"/>
        <w:autoSpaceDN w:val="0"/>
        <w:adjustRightInd w:val="0"/>
        <w:snapToGrid w:val="0"/>
        <w:spacing w:line="480" w:lineRule="exact"/>
        <w:ind w:firstLine="561"/>
        <w:rPr>
          <w:rFonts w:hint="eastAsia"/>
          <w:lang w:eastAsia="zh-CN"/>
        </w:rPr>
      </w:pPr>
      <w:r>
        <w:rPr>
          <w:rFonts w:hint="eastAsia" w:ascii="宋体" w:hAnsi="宋体"/>
          <w:color w:val="000000"/>
          <w:szCs w:val="21"/>
        </w:rPr>
        <w:t>⑩其他约定事项。</w:t>
      </w:r>
    </w:p>
    <w:p w14:paraId="1A2BA1AB">
      <w:pPr>
        <w:rPr>
          <w:rFonts w:hint="eastAsia"/>
          <w:lang w:eastAsia="zh-CN"/>
        </w:rPr>
      </w:pPr>
    </w:p>
    <w:p w14:paraId="111CBD98">
      <w:pPr>
        <w:rPr>
          <w:rFonts w:hint="eastAsia"/>
          <w:lang w:eastAsia="zh-CN"/>
        </w:rPr>
      </w:pPr>
    </w:p>
    <w:p w14:paraId="26E9C463">
      <w:pPr>
        <w:jc w:val="right"/>
        <w:outlineLvl w:val="0"/>
        <w:rPr>
          <w:rFonts w:hint="eastAsia" w:ascii="黑体" w:hAnsi="黑体" w:eastAsia="黑体" w:cs="黑体"/>
          <w:b/>
          <w:sz w:val="72"/>
          <w:szCs w:val="72"/>
          <w:lang w:eastAsia="zh-CN"/>
        </w:rPr>
      </w:pPr>
    </w:p>
    <w:p w14:paraId="656C19A8">
      <w:pPr>
        <w:jc w:val="right"/>
        <w:outlineLvl w:val="0"/>
        <w:rPr>
          <w:rFonts w:hint="eastAsia" w:ascii="黑体" w:hAnsi="黑体" w:eastAsia="黑体" w:cs="黑体"/>
          <w:b/>
          <w:sz w:val="72"/>
          <w:szCs w:val="72"/>
          <w:lang w:eastAsia="zh-CN"/>
        </w:rPr>
      </w:pPr>
    </w:p>
    <w:p w14:paraId="19A02501">
      <w:pPr>
        <w:jc w:val="right"/>
        <w:outlineLvl w:val="0"/>
        <w:rPr>
          <w:rFonts w:hint="eastAsia" w:ascii="黑体" w:hAnsi="黑体" w:eastAsia="黑体" w:cs="黑体"/>
          <w:b/>
          <w:sz w:val="72"/>
          <w:szCs w:val="72"/>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19"/>
        <w:rPr>
          <w:rFonts w:hint="eastAsia"/>
          <w:lang w:eastAsia="zh-CN"/>
        </w:rPr>
      </w:pPr>
    </w:p>
    <w:p w14:paraId="22FFDF3C">
      <w:pPr>
        <w:pStyle w:val="20"/>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19"/>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19"/>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19"/>
        <w:rPr>
          <w:rFonts w:hint="eastAsia"/>
        </w:rPr>
      </w:pPr>
    </w:p>
    <w:p w14:paraId="4C59DDD4">
      <w:pPr>
        <w:pStyle w:val="20"/>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4" w:type="default"/>
          <w:foot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2"/>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2025-2027年度市管道路设施养护项目（仪扬河大桥桥下空间应急基地板房）</w:t>
      </w:r>
      <w:r>
        <w:rPr>
          <w:rFonts w:hint="eastAsia" w:ascii="方正仿宋_GBK" w:hAnsi="方正仿宋_GBK" w:eastAsia="方正仿宋_GBK" w:cs="方正仿宋_GBK"/>
          <w:color w:val="000000"/>
          <w:sz w:val="24"/>
          <w:lang w:val="en-US" w:eastAsia="zh-CN"/>
        </w:rPr>
        <w:t>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15190086">
      <w:pPr>
        <w:numPr>
          <w:ilvl w:val="0"/>
          <w:numId w:val="0"/>
        </w:numPr>
        <w:spacing w:line="640" w:lineRule="exact"/>
        <w:ind w:leftChars="0" w:firstLine="480" w:firstLineChars="200"/>
        <w:rPr>
          <w:rFonts w:hint="eastAsia" w:ascii="方正仿宋_GBK" w:hAnsi="方正仿宋_GBK" w:eastAsia="方正仿宋_GBK" w:cs="方正仿宋_GBK"/>
          <w:sz w:val="24"/>
          <w:u w:val="single"/>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按照甲方需求量分批次供货，每批次供货安装完成且水电调试完毕后经甲方确认后付至该批次实际供货量70%（不超过合同价的70%），每批次供货安装结束经甲方验收合格后付至该批次实际供货量97%，3年质保期满后，付清尾款（无息）。</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增值税发</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val="en-US" w:eastAsia="zh-CN"/>
        </w:rPr>
        <w:t xml:space="preserve"> </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 xml:space="preserve"> </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hint="eastAsia"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505ABC47">
      <w:pPr>
        <w:spacing w:line="640" w:lineRule="exact"/>
        <w:ind w:firstLine="480" w:firstLineChars="200"/>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bCs/>
          <w:color w:val="auto"/>
          <w:sz w:val="24"/>
          <w:lang w:val="en-US" w:eastAsia="zh-CN"/>
        </w:rPr>
        <w:t>4、</w:t>
      </w:r>
      <w:r>
        <w:rPr>
          <w:rFonts w:hint="eastAsia" w:ascii="方正仿宋_GBK" w:hAnsi="方正仿宋_GBK" w:eastAsia="方正仿宋_GBK" w:cs="方正仿宋_GBK"/>
          <w:snapToGrid w:val="0"/>
          <w:color w:val="auto"/>
          <w:kern w:val="21"/>
          <w:position w:val="2"/>
          <w:sz w:val="24"/>
          <w:highlight w:val="none"/>
        </w:rPr>
        <w:t>乙方应严格按照甲方技术、质量交底、施工验收规范、有关技术要求精心组织施工，确保工程质量达到约定标准。</w:t>
      </w:r>
    </w:p>
    <w:p w14:paraId="516CF647">
      <w:pPr>
        <w:ind w:firstLine="480" w:firstLineChars="200"/>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snapToGrid w:val="0"/>
          <w:color w:val="auto"/>
          <w:kern w:val="21"/>
          <w:position w:val="2"/>
          <w:sz w:val="24"/>
          <w:highlight w:val="none"/>
          <w:lang w:val="en-US" w:eastAsia="zh-CN"/>
        </w:rPr>
        <w:t>5、</w:t>
      </w:r>
      <w:r>
        <w:rPr>
          <w:rFonts w:hint="eastAsia" w:ascii="方正仿宋_GBK" w:hAnsi="方正仿宋_GBK" w:eastAsia="方正仿宋_GBK" w:cs="方正仿宋_GBK"/>
          <w:snapToGrid w:val="0"/>
          <w:color w:val="auto"/>
          <w:kern w:val="21"/>
          <w:position w:val="2"/>
          <w:sz w:val="24"/>
          <w:highlight w:val="none"/>
        </w:rPr>
        <w:t>甲方委托乙方自购的辅助性零星小型材料需经甲方检验合格后方可用于本工程，未经甲方许可乙方不得擅自代换任何材料。</w:t>
      </w:r>
    </w:p>
    <w:p w14:paraId="1377F1F6">
      <w:pPr>
        <w:tabs>
          <w:tab w:val="left" w:pos="780"/>
        </w:tabs>
        <w:ind w:firstLine="480" w:firstLineChars="200"/>
        <w:rPr>
          <w:rFonts w:hint="default" w:ascii="方正仿宋_GBK" w:hAnsi="方正仿宋_GBK" w:eastAsia="方正仿宋_GBK" w:cs="方正仿宋_GBK"/>
          <w:snapToGrid w:val="0"/>
          <w:color w:val="auto"/>
          <w:kern w:val="21"/>
          <w:position w:val="2"/>
          <w:sz w:val="24"/>
          <w:highlight w:val="none"/>
          <w:lang w:val="en-US" w:eastAsia="zh-CN"/>
        </w:rPr>
      </w:pPr>
      <w:r>
        <w:rPr>
          <w:rFonts w:hint="eastAsia" w:ascii="方正仿宋_GBK" w:hAnsi="方正仿宋_GBK" w:eastAsia="方正仿宋_GBK" w:cs="方正仿宋_GBK"/>
          <w:snapToGrid w:val="0"/>
          <w:color w:val="auto"/>
          <w:kern w:val="21"/>
          <w:position w:val="2"/>
          <w:sz w:val="24"/>
          <w:highlight w:val="none"/>
          <w:lang w:val="en-US" w:eastAsia="zh-CN"/>
        </w:rPr>
        <w:t>6、</w:t>
      </w:r>
      <w:r>
        <w:rPr>
          <w:rFonts w:hint="eastAsia" w:ascii="方正仿宋_GBK" w:hAnsi="方正仿宋_GBK" w:eastAsia="方正仿宋_GBK" w:cs="方正仿宋_GBK"/>
          <w:snapToGrid w:val="0"/>
          <w:color w:val="auto"/>
          <w:kern w:val="21"/>
          <w:position w:val="2"/>
          <w:sz w:val="24"/>
          <w:highlight w:val="none"/>
        </w:rPr>
        <w:t>质保期间工程出现质量问题的，由乙方负责维修，维修发生的一切费用由乙方承担，乙方须接到通知3天内进行维修处理，逾期不处理的，建设单位可另行委托第三方处理，相关费用在质保金中直接扣除。</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tabs>
          <w:tab w:val="left" w:pos="780"/>
        </w:tabs>
        <w:ind w:firstLine="480" w:firstLineChars="200"/>
        <w:rPr>
          <w:rFonts w:hint="eastAsia" w:ascii="方正仿宋_GBK" w:hAnsi="方正仿宋_GBK" w:eastAsia="方正仿宋_GBK" w:cs="方正仿宋_GBK"/>
          <w:snapToGrid w:val="0"/>
          <w:color w:val="000000"/>
          <w:kern w:val="21"/>
          <w:position w:val="2"/>
          <w:sz w:val="24"/>
          <w:highlight w:val="none"/>
          <w:lang w:val="en-US" w:eastAsia="zh-CN"/>
        </w:rPr>
      </w:pPr>
      <w:r>
        <w:rPr>
          <w:rFonts w:hint="eastAsia" w:ascii="方正仿宋_GBK" w:hAnsi="方正仿宋_GBK" w:eastAsia="方正仿宋_GBK" w:cs="方正仿宋_GBK"/>
          <w:snapToGrid w:val="0"/>
          <w:color w:val="000000"/>
          <w:kern w:val="21"/>
          <w:position w:val="2"/>
          <w:sz w:val="24"/>
          <w:highlight w:val="none"/>
          <w:lang w:val="en-US" w:eastAsia="zh-CN"/>
        </w:rPr>
        <w:t>1、甲方负责现场初验收，经甲方检验后，证实乙方所供货物不符合约定时，有权要求向乙方退货，造成的一切损失由乙方自行负责，在甲方初验收合格并接收货物之前货物发生的毁损、灭失的风险由乙方承担，发生数量短少，由乙方补足。</w:t>
      </w:r>
    </w:p>
    <w:p w14:paraId="6CAE923A">
      <w:pPr>
        <w:tabs>
          <w:tab w:val="left" w:pos="780"/>
        </w:tabs>
        <w:ind w:firstLine="480" w:firstLineChars="200"/>
        <w:rPr>
          <w:rFonts w:hint="eastAsia" w:ascii="方正仿宋_GBK" w:hAnsi="方正仿宋_GBK" w:eastAsia="方正仿宋_GBK" w:cs="方正仿宋_GBK"/>
          <w:snapToGrid w:val="0"/>
          <w:color w:val="000000"/>
          <w:kern w:val="21"/>
          <w:position w:val="2"/>
          <w:sz w:val="24"/>
          <w:highlight w:val="none"/>
          <w:lang w:val="en-US" w:eastAsia="zh-CN"/>
        </w:rPr>
      </w:pPr>
      <w:r>
        <w:rPr>
          <w:rFonts w:hint="eastAsia" w:ascii="方正仿宋_GBK" w:hAnsi="方正仿宋_GBK" w:eastAsia="方正仿宋_GBK" w:cs="方正仿宋_GBK"/>
          <w:snapToGrid w:val="0"/>
          <w:color w:val="000000"/>
          <w:kern w:val="21"/>
          <w:position w:val="2"/>
          <w:sz w:val="24"/>
          <w:highlight w:val="none"/>
          <w:lang w:val="en-US" w:eastAsia="zh-CN"/>
        </w:rPr>
        <w:t>2、如在合同期间市场价格下浮，甲方有权与乙方签订补充协议，以下浮金额为结算金额，如乙方拒绝，甲方有权解除合同，由此造成的损失由乙方负责。</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469FA4F6">
      <w:pPr>
        <w:ind w:firstLine="480" w:firstLineChars="200"/>
        <w:rPr>
          <w:rFonts w:hint="eastAsia" w:ascii="方正仿宋_GBK" w:hAnsi="方正仿宋_GBK" w:eastAsia="方正仿宋_GBK" w:cs="方正仿宋_GBK"/>
          <w:bCs/>
          <w:color w:val="auto"/>
          <w:sz w:val="24"/>
          <w:lang w:val="en-US" w:eastAsia="zh-CN"/>
        </w:rPr>
      </w:pPr>
      <w:r>
        <w:rPr>
          <w:rFonts w:hint="eastAsia" w:ascii="方正仿宋_GBK" w:hAnsi="方正仿宋_GBK" w:eastAsia="方正仿宋_GBK" w:cs="方正仿宋_GBK"/>
          <w:bCs/>
          <w:color w:val="auto"/>
          <w:sz w:val="24"/>
          <w:lang w:val="en-US" w:eastAsia="zh-CN"/>
        </w:rPr>
        <w:t>4、</w:t>
      </w:r>
      <w:r>
        <w:rPr>
          <w:rFonts w:hint="eastAsia" w:ascii="方正仿宋_GBK" w:hAnsi="方正仿宋_GBK" w:eastAsia="方正仿宋_GBK" w:cs="方正仿宋_GBK"/>
          <w:snapToGrid w:val="0"/>
          <w:color w:val="auto"/>
          <w:kern w:val="21"/>
          <w:position w:val="2"/>
          <w:sz w:val="24"/>
          <w:highlight w:val="none"/>
        </w:rPr>
        <w:t>乙方应严格按照甲方技术、质量、安全交底进行作业，确保工程质量，不合格项目必须无偿返工，直到达到甲方验收标准为止，同时不减免其合同工期延误责任。每道工序须由甲方人员检验认可合格并通知允许进行下道工序作业后，方可进入下一道工序施工。</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1ADFE595">
      <w:pPr>
        <w:spacing w:line="360" w:lineRule="auto"/>
        <w:jc w:val="both"/>
        <w:rPr>
          <w:rFonts w:hint="eastAsia" w:ascii="宋体" w:hAnsi="宋体" w:cs="宋体"/>
          <w:b/>
          <w:bCs/>
          <w:sz w:val="32"/>
          <w:szCs w:val="32"/>
        </w:rPr>
        <w:sectPr>
          <w:headerReference r:id="rId6" w:type="default"/>
          <w:footerReference r:id="rId7"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sz w:val="24"/>
          <w:szCs w:val="24"/>
          <w:u w:val="none"/>
          <w:lang w:val="en-US" w:eastAsia="zh-CN"/>
        </w:rPr>
        <w:t>2025-2027年度市管道路设施养护项目（仪扬河大桥桥下空间应急基地板房）</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w:t>
      </w:r>
      <w:r>
        <w:rPr>
          <w:rFonts w:hint="eastAsia" w:ascii="方正仿宋_GBK" w:hAnsi="方正仿宋_GBK" w:eastAsia="方正仿宋_GBK" w:cs="方正仿宋_GBK"/>
          <w:b/>
          <w:sz w:val="24"/>
          <w:szCs w:val="24"/>
          <w:u w:val="none"/>
        </w:rPr>
        <w:t>称：</w:t>
      </w:r>
      <w:r>
        <w:rPr>
          <w:rFonts w:hint="eastAsia" w:ascii="方正仿宋_GBK" w:hAnsi="方正仿宋_GBK" w:eastAsia="方正仿宋_GBK" w:cs="方正仿宋_GBK"/>
          <w:color w:val="000000"/>
          <w:sz w:val="24"/>
          <w:u w:val="single"/>
          <w:lang w:val="en-US" w:eastAsia="zh-CN"/>
        </w:rPr>
        <w:t>2025-2027年度市管道路设施养护项目（仪扬河大桥桥下空间应急基地板房）</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color w:val="000000"/>
          <w:sz w:val="24"/>
          <w:u w:val="single"/>
          <w:lang w:val="en-US" w:eastAsia="zh-CN"/>
        </w:rPr>
        <w:t>2025-2027年度市管道路设施养护项目（仪扬河大桥桥下空间应急基地板房）</w:t>
      </w:r>
      <w:r>
        <w:rPr>
          <w:rFonts w:hint="eastAsia" w:ascii="方正仿宋_GBK" w:hAnsi="方正仿宋_GBK" w:eastAsia="方正仿宋_GBK" w:cs="方正仿宋_GBK"/>
          <w:sz w:val="24"/>
          <w:szCs w:val="24"/>
          <w:u w:val="none"/>
          <w:lang w:val="en-US" w:eastAsia="zh-CN"/>
        </w:rPr>
        <w:t>采购</w:t>
      </w:r>
      <w:r>
        <w:rPr>
          <w:rFonts w:hint="eastAsia" w:ascii="方正仿宋_GBK" w:hAnsi="方正仿宋_GBK" w:eastAsia="方正仿宋_GBK" w:cs="方正仿宋_GBK"/>
          <w:sz w:val="24"/>
          <w:szCs w:val="24"/>
          <w:u w:val="non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036B98AE">
      <w:pPr>
        <w:spacing w:line="360" w:lineRule="auto"/>
        <w:jc w:val="left"/>
        <w:rPr>
          <w:color w:val="000000" w:themeColor="text1"/>
          <w14:textFill>
            <w14:solidFill>
              <w14:schemeClr w14:val="tx1"/>
            </w14:solidFill>
          </w14:textFill>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sectPr>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42D4C6-331B-477C-8ADA-07DAA22A45A4}"/>
  </w:font>
  <w:font w:name="黑体">
    <w:panose1 w:val="02010609060101010101"/>
    <w:charset w:val="86"/>
    <w:family w:val="auto"/>
    <w:pitch w:val="default"/>
    <w:sig w:usb0="800002BF" w:usb1="38CF7CFA" w:usb2="00000016" w:usb3="00000000" w:csb0="00040001" w:csb1="00000000"/>
    <w:embedRegular r:id="rId2" w:fontKey="{CA184B3C-0974-416F-8124-6BC224E230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6B90477-6504-4B98-8682-5DCEA6EEDA94}"/>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4" w:fontKey="{EAFF06FE-0CF0-49D7-8618-5D122A9E31A9}"/>
  </w:font>
  <w:font w:name="楷体_GB2312">
    <w:panose1 w:val="02010609030101010101"/>
    <w:charset w:val="86"/>
    <w:family w:val="modern"/>
    <w:pitch w:val="default"/>
    <w:sig w:usb0="00000001" w:usb1="080E0000" w:usb2="00000000" w:usb3="00000000" w:csb0="00040000" w:csb1="00000000"/>
    <w:embedRegular r:id="rId5" w:fontKey="{BAFB4450-BB05-4928-8F70-41E1394E3BF6}"/>
  </w:font>
  <w:font w:name="方正小标宋_GBK">
    <w:panose1 w:val="03000509000000000000"/>
    <w:charset w:val="86"/>
    <w:family w:val="auto"/>
    <w:pitch w:val="default"/>
    <w:sig w:usb0="00000001" w:usb1="080E0000" w:usb2="00000000" w:usb3="00000000" w:csb0="00040000" w:csb1="00000000"/>
    <w:embedRegular r:id="rId6" w:fontKey="{12F93312-EF69-42E3-920A-9F7EE3454A13}"/>
  </w:font>
  <w:font w:name="方正仿宋_GBK">
    <w:panose1 w:val="03000509000000000000"/>
    <w:charset w:val="86"/>
    <w:family w:val="auto"/>
    <w:pitch w:val="default"/>
    <w:sig w:usb0="00000001" w:usb1="080E0000" w:usb2="00000000" w:usb3="00000000" w:csb0="00040000" w:csb1="00000000"/>
    <w:embedRegular r:id="rId7" w:fontKey="{432737DB-D487-4942-AB81-946856A9E6E2}"/>
  </w:font>
  <w:font w:name="仿宋">
    <w:panose1 w:val="02010609060101010101"/>
    <w:charset w:val="86"/>
    <w:family w:val="auto"/>
    <w:pitch w:val="default"/>
    <w:sig w:usb0="800002BF" w:usb1="38CF7CFA" w:usb2="00000016" w:usb3="00000000" w:csb0="00040001" w:csb1="00000000"/>
    <w:embedRegular r:id="rId8" w:fontKey="{4B788CFD-684B-45D3-AEB8-41DECB5D7FF5}"/>
  </w:font>
  <w:font w:name="WPSEMBED25">
    <w:panose1 w:val="02010609030101010101"/>
    <w:charset w:val="86"/>
    <w:family w:val="auto"/>
    <w:pitch w:val="default"/>
    <w:sig w:usb0="00000001" w:usb1="080E0000" w:usb2="00000000" w:usb3="00000000" w:csb0="00040000" w:csb1="00000000"/>
  </w:font>
  <w:font w:name="WPSEMBED2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ED064B"/>
    <w:rsid w:val="05235BBF"/>
    <w:rsid w:val="05616943"/>
    <w:rsid w:val="057A6F83"/>
    <w:rsid w:val="06574153"/>
    <w:rsid w:val="069C3A07"/>
    <w:rsid w:val="07B132EE"/>
    <w:rsid w:val="084E6464"/>
    <w:rsid w:val="08971538"/>
    <w:rsid w:val="08B077AB"/>
    <w:rsid w:val="09A23D87"/>
    <w:rsid w:val="0BC263E3"/>
    <w:rsid w:val="0C006D9B"/>
    <w:rsid w:val="0C3226C6"/>
    <w:rsid w:val="0C391C75"/>
    <w:rsid w:val="0C460641"/>
    <w:rsid w:val="0C530F7B"/>
    <w:rsid w:val="0D046532"/>
    <w:rsid w:val="0D9773A6"/>
    <w:rsid w:val="0DD62E5F"/>
    <w:rsid w:val="0DE8325E"/>
    <w:rsid w:val="0E5A3EAC"/>
    <w:rsid w:val="105E328D"/>
    <w:rsid w:val="10E46038"/>
    <w:rsid w:val="110E1B79"/>
    <w:rsid w:val="118916FB"/>
    <w:rsid w:val="119357E0"/>
    <w:rsid w:val="11DD6CEC"/>
    <w:rsid w:val="11EE6BFA"/>
    <w:rsid w:val="122657AD"/>
    <w:rsid w:val="129C1EFE"/>
    <w:rsid w:val="12AD1419"/>
    <w:rsid w:val="12EA5FE1"/>
    <w:rsid w:val="13141EF4"/>
    <w:rsid w:val="137837D5"/>
    <w:rsid w:val="13DA623E"/>
    <w:rsid w:val="15303EB5"/>
    <w:rsid w:val="153951E6"/>
    <w:rsid w:val="158F2D02"/>
    <w:rsid w:val="16924BAE"/>
    <w:rsid w:val="16D64DEC"/>
    <w:rsid w:val="1748310D"/>
    <w:rsid w:val="17AA4179"/>
    <w:rsid w:val="18282018"/>
    <w:rsid w:val="18381094"/>
    <w:rsid w:val="185D708E"/>
    <w:rsid w:val="18D9355E"/>
    <w:rsid w:val="192D0BBE"/>
    <w:rsid w:val="1A933FAF"/>
    <w:rsid w:val="1AC63078"/>
    <w:rsid w:val="1B32070E"/>
    <w:rsid w:val="1B863EE4"/>
    <w:rsid w:val="1BC96078"/>
    <w:rsid w:val="1D524DB7"/>
    <w:rsid w:val="1E14059F"/>
    <w:rsid w:val="1E4B2C37"/>
    <w:rsid w:val="1E6225BB"/>
    <w:rsid w:val="1EA31154"/>
    <w:rsid w:val="1EC21A64"/>
    <w:rsid w:val="1EC92A20"/>
    <w:rsid w:val="1F0E4671"/>
    <w:rsid w:val="206C021E"/>
    <w:rsid w:val="20884DF8"/>
    <w:rsid w:val="20A951E7"/>
    <w:rsid w:val="20CA13E8"/>
    <w:rsid w:val="226D193C"/>
    <w:rsid w:val="22A40E2D"/>
    <w:rsid w:val="22E23D79"/>
    <w:rsid w:val="2317480F"/>
    <w:rsid w:val="244622E1"/>
    <w:rsid w:val="2519347D"/>
    <w:rsid w:val="25D925CC"/>
    <w:rsid w:val="260C121F"/>
    <w:rsid w:val="26BA2DC8"/>
    <w:rsid w:val="26E30BFE"/>
    <w:rsid w:val="28994243"/>
    <w:rsid w:val="28E0030A"/>
    <w:rsid w:val="28E66D39"/>
    <w:rsid w:val="29124A48"/>
    <w:rsid w:val="29403ABE"/>
    <w:rsid w:val="29914D90"/>
    <w:rsid w:val="2A2E41B5"/>
    <w:rsid w:val="2B4431B2"/>
    <w:rsid w:val="2B794F42"/>
    <w:rsid w:val="2CA37518"/>
    <w:rsid w:val="2DB25169"/>
    <w:rsid w:val="2E8E1EAB"/>
    <w:rsid w:val="2F6217B2"/>
    <w:rsid w:val="2F7F766D"/>
    <w:rsid w:val="2FFE5B53"/>
    <w:rsid w:val="302C4955"/>
    <w:rsid w:val="308C2216"/>
    <w:rsid w:val="30A27E8D"/>
    <w:rsid w:val="31A368A5"/>
    <w:rsid w:val="31F0483A"/>
    <w:rsid w:val="3220530C"/>
    <w:rsid w:val="32BF2D9F"/>
    <w:rsid w:val="32CA33D5"/>
    <w:rsid w:val="32E43D91"/>
    <w:rsid w:val="33837901"/>
    <w:rsid w:val="33976056"/>
    <w:rsid w:val="34804ED0"/>
    <w:rsid w:val="34EC7159"/>
    <w:rsid w:val="35126C18"/>
    <w:rsid w:val="359F24A9"/>
    <w:rsid w:val="36FB7C7A"/>
    <w:rsid w:val="377C1237"/>
    <w:rsid w:val="37AF7C77"/>
    <w:rsid w:val="37CE7A02"/>
    <w:rsid w:val="384F24A7"/>
    <w:rsid w:val="38687147"/>
    <w:rsid w:val="38EF191E"/>
    <w:rsid w:val="38EF5FB9"/>
    <w:rsid w:val="3A7043D6"/>
    <w:rsid w:val="3AC00E15"/>
    <w:rsid w:val="3B223EA3"/>
    <w:rsid w:val="3B257EFE"/>
    <w:rsid w:val="3B9545AF"/>
    <w:rsid w:val="3BE3534E"/>
    <w:rsid w:val="3C646ABC"/>
    <w:rsid w:val="3C691FB0"/>
    <w:rsid w:val="3C756255"/>
    <w:rsid w:val="3CA8662A"/>
    <w:rsid w:val="3CB00D71"/>
    <w:rsid w:val="3D1E68EC"/>
    <w:rsid w:val="3F4645C5"/>
    <w:rsid w:val="3F8E7211"/>
    <w:rsid w:val="3FF839D9"/>
    <w:rsid w:val="406069A9"/>
    <w:rsid w:val="40E57E4D"/>
    <w:rsid w:val="41423887"/>
    <w:rsid w:val="416B77DA"/>
    <w:rsid w:val="420F0EF1"/>
    <w:rsid w:val="424B0183"/>
    <w:rsid w:val="438503B4"/>
    <w:rsid w:val="43BC6694"/>
    <w:rsid w:val="442567B2"/>
    <w:rsid w:val="455547FD"/>
    <w:rsid w:val="4582210E"/>
    <w:rsid w:val="45A1630C"/>
    <w:rsid w:val="46E953C6"/>
    <w:rsid w:val="486F2E18"/>
    <w:rsid w:val="48711A0E"/>
    <w:rsid w:val="4883384F"/>
    <w:rsid w:val="48AB7822"/>
    <w:rsid w:val="49050C67"/>
    <w:rsid w:val="49066914"/>
    <w:rsid w:val="494D0F0C"/>
    <w:rsid w:val="49B818C5"/>
    <w:rsid w:val="4A421E6C"/>
    <w:rsid w:val="4AD23574"/>
    <w:rsid w:val="4AE83AA4"/>
    <w:rsid w:val="4AEF0FE5"/>
    <w:rsid w:val="4B7029BB"/>
    <w:rsid w:val="4BA210DE"/>
    <w:rsid w:val="4BBB78DA"/>
    <w:rsid w:val="4C3558DD"/>
    <w:rsid w:val="4CA44D12"/>
    <w:rsid w:val="4D04165B"/>
    <w:rsid w:val="4ECF28B8"/>
    <w:rsid w:val="4FE34DE9"/>
    <w:rsid w:val="50B6349B"/>
    <w:rsid w:val="50D92A99"/>
    <w:rsid w:val="511B5891"/>
    <w:rsid w:val="513F3A5E"/>
    <w:rsid w:val="516A7EFA"/>
    <w:rsid w:val="51A82DBE"/>
    <w:rsid w:val="523634E2"/>
    <w:rsid w:val="523E220C"/>
    <w:rsid w:val="525F3A5D"/>
    <w:rsid w:val="5302488E"/>
    <w:rsid w:val="53361833"/>
    <w:rsid w:val="53A92F5C"/>
    <w:rsid w:val="563034C0"/>
    <w:rsid w:val="567C0A12"/>
    <w:rsid w:val="56A8222D"/>
    <w:rsid w:val="56D62531"/>
    <w:rsid w:val="571E1031"/>
    <w:rsid w:val="5731653C"/>
    <w:rsid w:val="5774785F"/>
    <w:rsid w:val="58277A0D"/>
    <w:rsid w:val="58A65CBC"/>
    <w:rsid w:val="58D355C2"/>
    <w:rsid w:val="58D6764A"/>
    <w:rsid w:val="59B57910"/>
    <w:rsid w:val="59D52356"/>
    <w:rsid w:val="5B463C4C"/>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B40902"/>
    <w:rsid w:val="66C44D3E"/>
    <w:rsid w:val="66F35A29"/>
    <w:rsid w:val="678F10BD"/>
    <w:rsid w:val="68537464"/>
    <w:rsid w:val="68C57F09"/>
    <w:rsid w:val="691B0D4C"/>
    <w:rsid w:val="69814491"/>
    <w:rsid w:val="6BBB4685"/>
    <w:rsid w:val="6CF272CA"/>
    <w:rsid w:val="6D0131CD"/>
    <w:rsid w:val="6D016897"/>
    <w:rsid w:val="6D116F45"/>
    <w:rsid w:val="6EC33740"/>
    <w:rsid w:val="6EE658EC"/>
    <w:rsid w:val="6FA2234A"/>
    <w:rsid w:val="6FC00FB9"/>
    <w:rsid w:val="6FD30157"/>
    <w:rsid w:val="715916C6"/>
    <w:rsid w:val="718A153D"/>
    <w:rsid w:val="71A646D5"/>
    <w:rsid w:val="72462175"/>
    <w:rsid w:val="726C5429"/>
    <w:rsid w:val="749018A2"/>
    <w:rsid w:val="75A52DFF"/>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B6110D"/>
    <w:rsid w:val="7E372D8F"/>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character" w:customStyle="1" w:styleId="22">
    <w:name w:val="页眉 Char"/>
    <w:link w:val="11"/>
    <w:qFormat/>
    <w:uiPriority w:val="0"/>
    <w:rPr>
      <w:kern w:val="2"/>
      <w:sz w:val="18"/>
      <w:szCs w:val="18"/>
    </w:rPr>
  </w:style>
  <w:style w:type="character" w:customStyle="1" w:styleId="23">
    <w:name w:val="页脚 Char"/>
    <w:link w:val="10"/>
    <w:qFormat/>
    <w:uiPriority w:val="0"/>
    <w:rPr>
      <w:kern w:val="2"/>
      <w:sz w:val="18"/>
      <w:szCs w:val="18"/>
    </w:rPr>
  </w:style>
  <w:style w:type="character" w:customStyle="1" w:styleId="24">
    <w:name w:val="正文文本缩进 Char"/>
    <w:link w:val="5"/>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Table Text"/>
    <w:basedOn w:val="1"/>
    <w:semiHidden/>
    <w:qFormat/>
    <w:uiPriority w:val="0"/>
    <w:rPr>
      <w:rFonts w:ascii="楷体" w:hAnsi="楷体" w:eastAsia="楷体" w:cs="楷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23</Pages>
  <Words>910</Words>
  <Characters>1002</Characters>
  <Lines>30</Lines>
  <Paragraphs>8</Paragraphs>
  <TotalTime>14</TotalTime>
  <ScaleCrop>false</ScaleCrop>
  <LinksUpToDate>false</LinksUpToDate>
  <CharactersWithSpaces>1064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2026-01-22T09:44:00Z</cp:lastPrinted>
  <dcterms:modified xsi:type="dcterms:W3CDTF">2026-01-23T06:11:44Z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BCC0F36839C04736A962413DD35FFD63_13</vt:lpwstr>
  </property>
  <property fmtid="{D5CDD505-2E9C-101B-9397-08002B2CF9AE}" pid="4" name="KSOTemplateDocerSaveRecord">
    <vt:lpwstr>eyJoZGlkIjoiZDJkZjg2YmUyZTdjMzQ4ZGRhZDcxZWU5OGZjYWUzMmUiLCJ1c2VySWQiOiIxNjQ1Mzc3MjM2In0=</vt:lpwstr>
  </property>
</Properties>
</file>