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26F053D">
      <w:pPr>
        <w:adjustRightInd w:val="0"/>
        <w:snapToGrid w:val="0"/>
        <w:spacing w:line="360" w:lineRule="auto"/>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扬州市六圩污水处理厂扩建工程EPC工程材料采购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8"/>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7EE35BD8">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EDE7D7C">
      <w:pPr>
        <w:pStyle w:val="2"/>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0"/>
          <w:szCs w:val="30"/>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方正仿宋_GBK" w:hAnsi="方正仿宋_GBK" w:eastAsia="方正仿宋_GBK" w:cs="方正仿宋_GBK"/>
          <w:b/>
          <w:bCs/>
          <w:snapToGrid w:val="0"/>
          <w:color w:val="000000" w:themeColor="text1"/>
          <w:sz w:val="30"/>
          <w:szCs w:val="30"/>
          <w:u w:val="single"/>
          <w:lang w:val="en-US" w:eastAsia="zh-CN"/>
          <w14:textFill>
            <w14:solidFill>
              <w14:schemeClr w14:val="tx1"/>
            </w14:solidFill>
          </w14:textFill>
        </w:rPr>
        <w:t xml:space="preserve">2026 </w:t>
      </w:r>
      <w:r>
        <w:rPr>
          <w:rFonts w:hint="eastAsia" w:ascii="方正仿宋_GBK" w:hAnsi="方正仿宋_GBK" w:eastAsia="方正仿宋_GBK" w:cs="方正仿宋_GBK"/>
          <w:b/>
          <w:bCs/>
          <w:snapToGrid w:val="0"/>
          <w:color w:val="000000" w:themeColor="text1"/>
          <w:sz w:val="30"/>
          <w:szCs w:val="30"/>
          <w14:textFill>
            <w14:solidFill>
              <w14:schemeClr w14:val="tx1"/>
            </w14:solidFill>
          </w14:textFill>
        </w:rPr>
        <w:t>年</w:t>
      </w:r>
      <w:r>
        <w:rPr>
          <w:rFonts w:hint="eastAsia" w:ascii="方正仿宋_GBK" w:hAnsi="方正仿宋_GBK" w:eastAsia="方正仿宋_GBK" w:cs="方正仿宋_GBK"/>
          <w:b/>
          <w:bCs/>
          <w:snapToGrid w:val="0"/>
          <w:color w:val="000000" w:themeColor="text1"/>
          <w:sz w:val="30"/>
          <w:szCs w:val="30"/>
          <w:u w:val="single"/>
          <w:lang w:val="en-US" w:eastAsia="zh-CN"/>
          <w14:textFill>
            <w14:solidFill>
              <w14:schemeClr w14:val="tx1"/>
            </w14:solidFill>
          </w14:textFill>
        </w:rPr>
        <w:t xml:space="preserve"> 1 </w:t>
      </w:r>
      <w:r>
        <w:rPr>
          <w:rFonts w:hint="eastAsia" w:ascii="方正仿宋_GBK" w:hAnsi="方正仿宋_GBK" w:eastAsia="方正仿宋_GBK" w:cs="方正仿宋_GBK"/>
          <w:b/>
          <w:bCs/>
          <w:snapToGrid w:val="0"/>
          <w:color w:val="000000" w:themeColor="text1"/>
          <w:sz w:val="30"/>
          <w:szCs w:val="30"/>
          <w14:textFill>
            <w14:solidFill>
              <w14:schemeClr w14:val="tx1"/>
            </w14:solidFill>
          </w14:textFill>
        </w:rPr>
        <w:t>月</w:t>
      </w:r>
      <w:r>
        <w:rPr>
          <w:rFonts w:hint="eastAsia" w:ascii="方正仿宋_GBK" w:hAnsi="方正仿宋_GBK" w:eastAsia="方正仿宋_GBK" w:cs="方正仿宋_GBK"/>
          <w:b/>
          <w:bCs/>
          <w:snapToGrid w:val="0"/>
          <w:color w:val="000000" w:themeColor="text1"/>
          <w:sz w:val="30"/>
          <w:szCs w:val="30"/>
          <w:u w:val="single"/>
          <w:lang w:val="en-US" w:eastAsia="zh-CN"/>
          <w14:textFill>
            <w14:solidFill>
              <w14:schemeClr w14:val="tx1"/>
            </w14:solidFill>
          </w14:textFill>
        </w:rPr>
        <w:t xml:space="preserve"> 5</w:t>
      </w:r>
      <w:r>
        <w:rPr>
          <w:rFonts w:hint="eastAsia" w:ascii="方正仿宋_GBK" w:hAnsi="方正仿宋_GBK" w:eastAsia="方正仿宋_GBK" w:cs="方正仿宋_GBK"/>
          <w:b/>
          <w:bCs/>
          <w:snapToGrid w:val="0"/>
          <w:color w:val="000000" w:themeColor="text1"/>
          <w:sz w:val="30"/>
          <w:szCs w:val="30"/>
          <w14:textFill>
            <w14:solidFill>
              <w14:schemeClr w14:val="tx1"/>
            </w14:solidFill>
          </w14:textFill>
        </w:rPr>
        <w:t>日</w:t>
      </w:r>
    </w:p>
    <w:p w14:paraId="6789B486">
      <w:pPr>
        <w:rPr>
          <w:rFonts w:hint="eastAsia"/>
        </w:rPr>
      </w:pPr>
    </w:p>
    <w:p w14:paraId="7EDEB050">
      <w:pPr>
        <w:spacing w:line="360" w:lineRule="auto"/>
        <w:jc w:val="center"/>
        <w:outlineLvl w:val="0"/>
        <w:rPr>
          <w:rFonts w:hint="eastAsia" w:ascii="宋体" w:hAnsi="宋体"/>
          <w:b/>
          <w:color w:val="000000" w:themeColor="text1"/>
          <w:sz w:val="36"/>
          <w:szCs w:val="36"/>
          <w14:textFill>
            <w14:solidFill>
              <w14:schemeClr w14:val="tx1"/>
            </w14:solidFill>
          </w14:textFill>
        </w:rPr>
      </w:pPr>
    </w:p>
    <w:p w14:paraId="7D0C72B4">
      <w:pPr>
        <w:spacing w:line="360" w:lineRule="auto"/>
        <w:jc w:val="center"/>
        <w:outlineLvl w:val="0"/>
        <w:rPr>
          <w:rFonts w:hint="eastAsia" w:ascii="宋体" w:hAnsi="宋体"/>
          <w:b/>
          <w:color w:val="000000" w:themeColor="text1"/>
          <w:sz w:val="36"/>
          <w:szCs w:val="36"/>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8"/>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B1C162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扬州市六圩污水处理厂扩建工程EPC工程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铁艺栏杆、仿古瓷砖、大理石等</w:t>
            </w:r>
          </w:p>
        </w:tc>
      </w:tr>
      <w:tr w14:paraId="1CEC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0953057E">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2D4D4CC5">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最高限价</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436869E">
            <w:pPr>
              <w:spacing w:line="380" w:lineRule="exact"/>
              <w:rPr>
                <w:rFonts w:hint="eastAsia" w:ascii="宋体" w:hAnsi="宋体" w:eastAsia="宋体" w:cs="宋体"/>
                <w:i w:val="0"/>
                <w:iCs w:val="0"/>
                <w:color w:val="FF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 xml:space="preserve"> （含13%税）</w:t>
            </w:r>
            <w:bookmarkStart w:id="2" w:name="_GoBack"/>
            <w:bookmarkEnd w:id="2"/>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0</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FF0000"/>
                <w:szCs w:val="21"/>
              </w:rPr>
              <w:t>正本一份</w:t>
            </w:r>
            <w:r>
              <w:rPr>
                <w:rFonts w:hint="eastAsia" w:ascii="宋体" w:hAnsi="宋体"/>
                <w:color w:val="FF0000"/>
                <w:szCs w:val="21"/>
                <w:lang w:eastAsia="zh-CN"/>
              </w:rPr>
              <w:t>，副本一份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11</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扬州市上善建设工程有限公司</w:t>
            </w:r>
          </w:p>
          <w:p w14:paraId="050FE2F8">
            <w:pPr>
              <w:pStyle w:val="8"/>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77227F2">
      <w:pPr>
        <w:autoSpaceDE w:val="0"/>
        <w:autoSpaceDN w:val="0"/>
        <w:adjustRightInd w:val="0"/>
        <w:snapToGrid w:val="0"/>
        <w:spacing w:line="480" w:lineRule="exact"/>
        <w:rPr>
          <w:rFonts w:hint="eastAsia"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扬州市六圩污水处理厂扩建工程EPC工程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8"/>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firstLine="211" w:firstLineChars="10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211" w:firstLineChars="100"/>
        <w:rPr>
          <w:rFonts w:hint="default" w:ascii="宋体" w:hAnsi="宋体" w:eastAsia="宋体"/>
          <w:b/>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eastAsia="宋体"/>
          <w:b/>
          <w:szCs w:val="21"/>
          <w:lang w:eastAsia="zh-CN"/>
        </w:rPr>
        <w:t>：</w:t>
      </w:r>
      <w:r>
        <w:rPr>
          <w:rFonts w:hint="eastAsia" w:ascii="宋体" w:hAnsi="宋体" w:eastAsia="宋体"/>
          <w:b/>
          <w:szCs w:val="21"/>
          <w:lang w:val="en-US" w:eastAsia="zh-CN"/>
        </w:rPr>
        <w:t>扬州市六圩污水处理厂扩建工程EPC工程材料采购</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47"/>
        <w:gridCol w:w="1710"/>
        <w:gridCol w:w="795"/>
        <w:gridCol w:w="1035"/>
        <w:gridCol w:w="1305"/>
        <w:gridCol w:w="1245"/>
        <w:gridCol w:w="1845"/>
      </w:tblGrid>
      <w:tr w14:paraId="4F25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6E4186DB">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序号</w:t>
            </w:r>
          </w:p>
        </w:tc>
        <w:tc>
          <w:tcPr>
            <w:tcW w:w="1347" w:type="dxa"/>
            <w:vAlign w:val="center"/>
          </w:tcPr>
          <w:p w14:paraId="4033BA3F">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材料名称</w:t>
            </w:r>
          </w:p>
        </w:tc>
        <w:tc>
          <w:tcPr>
            <w:tcW w:w="1710" w:type="dxa"/>
            <w:vAlign w:val="center"/>
          </w:tcPr>
          <w:p w14:paraId="20759D0D">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规格</w:t>
            </w:r>
          </w:p>
        </w:tc>
        <w:tc>
          <w:tcPr>
            <w:tcW w:w="795" w:type="dxa"/>
            <w:vAlign w:val="center"/>
          </w:tcPr>
          <w:p w14:paraId="59B1988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单位</w:t>
            </w:r>
          </w:p>
        </w:tc>
        <w:tc>
          <w:tcPr>
            <w:tcW w:w="1035" w:type="dxa"/>
            <w:vAlign w:val="center"/>
          </w:tcPr>
          <w:p w14:paraId="530A173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数量</w:t>
            </w:r>
          </w:p>
        </w:tc>
        <w:tc>
          <w:tcPr>
            <w:tcW w:w="1305" w:type="dxa"/>
            <w:vAlign w:val="center"/>
          </w:tcPr>
          <w:p w14:paraId="756B2E4B">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最高限价（含13%税）</w:t>
            </w:r>
          </w:p>
        </w:tc>
        <w:tc>
          <w:tcPr>
            <w:tcW w:w="1245" w:type="dxa"/>
            <w:vAlign w:val="center"/>
          </w:tcPr>
          <w:p w14:paraId="53782B1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总价</w:t>
            </w:r>
          </w:p>
        </w:tc>
        <w:tc>
          <w:tcPr>
            <w:tcW w:w="1845" w:type="dxa"/>
            <w:vAlign w:val="center"/>
          </w:tcPr>
          <w:p w14:paraId="368538FD">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备注</w:t>
            </w:r>
          </w:p>
        </w:tc>
      </w:tr>
      <w:tr w14:paraId="79F5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73" w:type="dxa"/>
            <w:vAlign w:val="center"/>
          </w:tcPr>
          <w:p w14:paraId="1CBC5C70">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w:t>
            </w:r>
          </w:p>
        </w:tc>
        <w:tc>
          <w:tcPr>
            <w:tcW w:w="1347" w:type="dxa"/>
            <w:shd w:val="clear" w:color="auto" w:fill="auto"/>
            <w:vAlign w:val="center"/>
          </w:tcPr>
          <w:p w14:paraId="6E043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墙面面砖（仿古瓷砖）</w:t>
            </w:r>
          </w:p>
        </w:tc>
        <w:tc>
          <w:tcPr>
            <w:tcW w:w="1710" w:type="dxa"/>
            <w:shd w:val="clear" w:color="auto" w:fill="auto"/>
            <w:vAlign w:val="center"/>
          </w:tcPr>
          <w:p w14:paraId="4A75D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200mm*400mm</w:t>
            </w:r>
          </w:p>
        </w:tc>
        <w:tc>
          <w:tcPr>
            <w:tcW w:w="795" w:type="dxa"/>
            <w:vAlign w:val="center"/>
          </w:tcPr>
          <w:p w14:paraId="7A8246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35" w:type="dxa"/>
            <w:vAlign w:val="center"/>
          </w:tcPr>
          <w:p w14:paraId="764D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1438</w:t>
            </w:r>
          </w:p>
        </w:tc>
        <w:tc>
          <w:tcPr>
            <w:tcW w:w="1305" w:type="dxa"/>
            <w:vAlign w:val="center"/>
          </w:tcPr>
          <w:p w14:paraId="6F105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245" w:type="dxa"/>
            <w:vAlign w:val="center"/>
          </w:tcPr>
          <w:p w14:paraId="47AEB6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179750</w:t>
            </w:r>
          </w:p>
        </w:tc>
        <w:tc>
          <w:tcPr>
            <w:tcW w:w="1845" w:type="dxa"/>
            <w:vAlign w:val="center"/>
          </w:tcPr>
          <w:p w14:paraId="458EC9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56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73" w:type="dxa"/>
            <w:vAlign w:val="center"/>
          </w:tcPr>
          <w:p w14:paraId="1181BB29">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w:t>
            </w:r>
          </w:p>
        </w:tc>
        <w:tc>
          <w:tcPr>
            <w:tcW w:w="1347" w:type="dxa"/>
            <w:shd w:val="clear" w:color="auto" w:fill="auto"/>
            <w:vAlign w:val="center"/>
          </w:tcPr>
          <w:p w14:paraId="15279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立柱压顶（大理石）</w:t>
            </w:r>
          </w:p>
        </w:tc>
        <w:tc>
          <w:tcPr>
            <w:tcW w:w="1710" w:type="dxa"/>
            <w:shd w:val="clear" w:color="auto" w:fill="auto"/>
            <w:vAlign w:val="center"/>
          </w:tcPr>
          <w:p w14:paraId="64431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440mm*440mm*100mm</w:t>
            </w:r>
          </w:p>
        </w:tc>
        <w:tc>
          <w:tcPr>
            <w:tcW w:w="795" w:type="dxa"/>
            <w:vAlign w:val="center"/>
          </w:tcPr>
          <w:p w14:paraId="06E53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35" w:type="dxa"/>
            <w:vAlign w:val="center"/>
          </w:tcPr>
          <w:p w14:paraId="7746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25.75</w:t>
            </w:r>
          </w:p>
        </w:tc>
        <w:tc>
          <w:tcPr>
            <w:tcW w:w="1305" w:type="dxa"/>
            <w:vAlign w:val="center"/>
          </w:tcPr>
          <w:p w14:paraId="1D90BC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245" w:type="dxa"/>
            <w:vAlign w:val="center"/>
          </w:tcPr>
          <w:p w14:paraId="6719D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7853.75</w:t>
            </w:r>
          </w:p>
        </w:tc>
        <w:tc>
          <w:tcPr>
            <w:tcW w:w="1845" w:type="dxa"/>
            <w:vAlign w:val="center"/>
          </w:tcPr>
          <w:p w14:paraId="37041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70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58B72D5">
            <w:pPr>
              <w:jc w:val="center"/>
              <w:rPr>
                <w:rFonts w:hint="eastAsia" w:ascii="宋体" w:hAnsi="宋体"/>
                <w:b/>
                <w:szCs w:val="21"/>
                <w:vertAlign w:val="baseline"/>
                <w:lang w:val="en-US" w:eastAsia="zh-CN"/>
              </w:rPr>
            </w:pPr>
          </w:p>
          <w:p w14:paraId="0A92A8C7">
            <w:pPr>
              <w:jc w:val="center"/>
              <w:rPr>
                <w:rFonts w:hint="eastAsia" w:ascii="宋体" w:hAnsi="宋体"/>
                <w:b/>
                <w:szCs w:val="21"/>
                <w:vertAlign w:val="baseline"/>
                <w:lang w:val="en-US" w:eastAsia="zh-CN"/>
              </w:rPr>
            </w:pPr>
          </w:p>
          <w:p w14:paraId="1D7BC83B">
            <w:pPr>
              <w:jc w:val="center"/>
              <w:rPr>
                <w:rFonts w:hint="eastAsia" w:ascii="宋体" w:hAnsi="宋体"/>
                <w:b/>
                <w:szCs w:val="21"/>
                <w:vertAlign w:val="baseline"/>
                <w:lang w:val="en-US" w:eastAsia="zh-CN"/>
              </w:rPr>
            </w:pPr>
          </w:p>
          <w:p w14:paraId="043A2D47">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3</w:t>
            </w:r>
          </w:p>
          <w:p w14:paraId="6C37FB71">
            <w:pPr>
              <w:pStyle w:val="2"/>
              <w:rPr>
                <w:rFonts w:hint="default"/>
                <w:lang w:val="en-US" w:eastAsia="zh-CN"/>
              </w:rPr>
            </w:pPr>
          </w:p>
        </w:tc>
        <w:tc>
          <w:tcPr>
            <w:tcW w:w="1347" w:type="dxa"/>
            <w:vAlign w:val="center"/>
          </w:tcPr>
          <w:p w14:paraId="476134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铁艺栏杆</w:t>
            </w:r>
          </w:p>
        </w:tc>
        <w:tc>
          <w:tcPr>
            <w:tcW w:w="1710" w:type="dxa"/>
            <w:vAlign w:val="center"/>
          </w:tcPr>
          <w:p w14:paraId="251FD1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高1.9米</w:t>
            </w:r>
          </w:p>
        </w:tc>
        <w:tc>
          <w:tcPr>
            <w:tcW w:w="795" w:type="dxa"/>
            <w:vAlign w:val="center"/>
          </w:tcPr>
          <w:p w14:paraId="0DA82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035" w:type="dxa"/>
            <w:vAlign w:val="center"/>
          </w:tcPr>
          <w:p w14:paraId="3E0780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1748</w:t>
            </w:r>
          </w:p>
        </w:tc>
        <w:tc>
          <w:tcPr>
            <w:tcW w:w="1305" w:type="dxa"/>
            <w:shd w:val="clear" w:color="auto" w:fill="auto"/>
            <w:vAlign w:val="center"/>
          </w:tcPr>
          <w:p w14:paraId="3EED2B5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280</w:t>
            </w:r>
          </w:p>
        </w:tc>
        <w:tc>
          <w:tcPr>
            <w:tcW w:w="1245" w:type="dxa"/>
            <w:shd w:val="clear" w:color="auto" w:fill="auto"/>
            <w:vAlign w:val="center"/>
          </w:tcPr>
          <w:p w14:paraId="10D0FAD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489440</w:t>
            </w:r>
          </w:p>
        </w:tc>
        <w:tc>
          <w:tcPr>
            <w:tcW w:w="1845" w:type="dxa"/>
            <w:vAlign w:val="center"/>
          </w:tcPr>
          <w:p w14:paraId="1C0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建筑钢构件表面采用喷砂抛丸除锈,除锈等级Sa2.5级;富锌底漆防锈2</w:t>
            </w:r>
            <w:r>
              <w:rPr>
                <w:rFonts w:hint="eastAsia"/>
                <w:lang w:val="en-US" w:eastAsia="zh-CN"/>
              </w:rPr>
              <w:t>×</w:t>
            </w:r>
            <w:r>
              <w:rPr>
                <w:rFonts w:hint="eastAsia"/>
              </w:rPr>
              <w:t>35μm；环氧云铁中间漆1</w:t>
            </w:r>
            <w:r>
              <w:rPr>
                <w:rFonts w:hint="eastAsia"/>
                <w:lang w:val="en-US" w:eastAsia="zh-CN"/>
              </w:rPr>
              <w:t>×</w:t>
            </w:r>
            <w:r>
              <w:rPr>
                <w:rFonts w:hint="eastAsia"/>
              </w:rPr>
              <w:t>70μm,表面环氧面漆3</w:t>
            </w:r>
            <w:r>
              <w:rPr>
                <w:rFonts w:hint="eastAsia"/>
                <w:lang w:val="en-US" w:eastAsia="zh-CN"/>
              </w:rPr>
              <w:t>×</w:t>
            </w:r>
            <w:r>
              <w:rPr>
                <w:rFonts w:hint="eastAsia"/>
              </w:rPr>
              <w:t>35μm。</w:t>
            </w:r>
          </w:p>
        </w:tc>
      </w:tr>
      <w:tr w14:paraId="09E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65" w:type="dxa"/>
            <w:gridSpan w:val="6"/>
            <w:vAlign w:val="center"/>
          </w:tcPr>
          <w:p w14:paraId="584ABB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245" w:type="dxa"/>
            <w:shd w:val="clear" w:color="auto" w:fill="auto"/>
            <w:vAlign w:val="center"/>
          </w:tcPr>
          <w:p w14:paraId="538AABE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677043.75</w:t>
            </w:r>
          </w:p>
        </w:tc>
        <w:tc>
          <w:tcPr>
            <w:tcW w:w="1845" w:type="dxa"/>
            <w:shd w:val="clear" w:color="auto" w:fill="auto"/>
            <w:vAlign w:val="center"/>
          </w:tcPr>
          <w:p w14:paraId="374C3E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bl>
    <w:p w14:paraId="03608C44">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drawing>
          <wp:anchor distT="0" distB="0" distL="114300" distR="114300" simplePos="0" relativeHeight="251659264" behindDoc="0" locked="0" layoutInCell="1" allowOverlap="1">
            <wp:simplePos x="0" y="0"/>
            <wp:positionH relativeFrom="column">
              <wp:posOffset>28575</wp:posOffset>
            </wp:positionH>
            <wp:positionV relativeFrom="paragraph">
              <wp:posOffset>-594360</wp:posOffset>
            </wp:positionV>
            <wp:extent cx="6071235" cy="2391410"/>
            <wp:effectExtent l="0" t="0" r="5715" b="889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6071235" cy="2391410"/>
                    </a:xfrm>
                    <a:prstGeom prst="rect">
                      <a:avLst/>
                    </a:prstGeom>
                    <a:noFill/>
                    <a:ln w="9525">
                      <a:noFill/>
                    </a:ln>
                  </pic:spPr>
                </pic:pic>
              </a:graphicData>
            </a:graphic>
          </wp:anchor>
        </w:drawing>
      </w:r>
    </w:p>
    <w:p w14:paraId="53E886ED">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p>
    <w:p w14:paraId="55BD2096">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p>
    <w:p w14:paraId="0E6C9DF0">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p>
    <w:p w14:paraId="7DD192BF">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p>
    <w:p w14:paraId="19FC0227">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p>
    <w:p w14:paraId="43D8CA65">
      <w:pPr>
        <w:numPr>
          <w:ilvl w:val="0"/>
          <w:numId w:val="0"/>
        </w:numPr>
        <w:autoSpaceDE w:val="0"/>
        <w:autoSpaceDN w:val="0"/>
        <w:adjustRightInd w:val="0"/>
        <w:snapToGrid w:val="0"/>
        <w:spacing w:line="480" w:lineRule="exact"/>
        <w:ind w:firstLine="630" w:firstLineChars="300"/>
        <w:jc w:val="center"/>
        <w:rPr>
          <w:rFonts w:hint="eastAsia" w:ascii="宋体" w:hAnsi="宋体"/>
          <w:color w:val="auto"/>
          <w:szCs w:val="21"/>
          <w:lang w:val="en-US" w:eastAsia="zh-CN"/>
        </w:rPr>
      </w:pPr>
      <w:r>
        <w:rPr>
          <w:rFonts w:hint="eastAsia" w:ascii="宋体" w:hAnsi="宋体"/>
          <w:color w:val="auto"/>
          <w:szCs w:val="21"/>
          <w:lang w:val="en-US" w:eastAsia="zh-CN"/>
        </w:rPr>
        <w:t>（栏杆示意图）</w:t>
      </w:r>
    </w:p>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3、结算方式：中标材料单价（含13%税）*对应材料数量=结算总价（含13%税）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w:t>
      </w:r>
      <w:r>
        <w:rPr>
          <w:rFonts w:hint="eastAsia" w:ascii="宋体" w:hAnsi="宋体"/>
          <w:color w:val="FF0000"/>
          <w:szCs w:val="21"/>
        </w:rPr>
        <w:t>正本一份</w:t>
      </w:r>
      <w:r>
        <w:rPr>
          <w:rFonts w:hint="eastAsia" w:ascii="宋体" w:hAnsi="宋体"/>
          <w:color w:val="FF0000"/>
          <w:szCs w:val="21"/>
          <w:lang w:eastAsia="zh-CN"/>
        </w:rPr>
        <w:t>，副本一份，正副</w:t>
      </w:r>
      <w:r>
        <w:rPr>
          <w:rFonts w:hint="eastAsia" w:ascii="宋体" w:hAnsi="宋体"/>
          <w:color w:val="FF0000"/>
          <w:szCs w:val="21"/>
        </w:rPr>
        <w:t>本必须用不能擦去的墨水书写或打印，正</w:t>
      </w:r>
      <w:r>
        <w:rPr>
          <w:rFonts w:hint="eastAsia" w:ascii="宋体" w:hAnsi="宋体"/>
          <w:color w:val="FF0000"/>
          <w:szCs w:val="21"/>
          <w:lang w:eastAsia="zh-CN"/>
        </w:rPr>
        <w:t>副</w:t>
      </w:r>
      <w:r>
        <w:rPr>
          <w:rFonts w:hint="eastAsia" w:ascii="宋体" w:hAnsi="宋体"/>
          <w:color w:val="FF0000"/>
          <w:szCs w:val="21"/>
        </w:rPr>
        <w:t>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val="en-US" w:eastAsia="zh-CN"/>
        </w:rPr>
        <w:t>，报价含运费、卸货费用，须提供投标书及报价清单</w:t>
      </w:r>
      <w:r>
        <w:rPr>
          <w:rFonts w:hint="eastAsia" w:ascii="宋体" w:hAnsi="宋体"/>
          <w:color w:val="auto"/>
          <w:szCs w:val="21"/>
        </w:rPr>
        <w:t>。</w:t>
      </w:r>
    </w:p>
    <w:p w14:paraId="73CE1FFE">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FF0000"/>
          <w:szCs w:val="21"/>
          <w:lang w:val="en-US" w:eastAsia="zh-CN"/>
        </w:rPr>
        <w:t>3、</w:t>
      </w:r>
      <w:r>
        <w:rPr>
          <w:rFonts w:hint="eastAsia" w:ascii="宋体" w:hAnsi="宋体"/>
          <w:color w:val="FF0000"/>
          <w:szCs w:val="21"/>
        </w:rPr>
        <w:t>投标</w:t>
      </w:r>
      <w:r>
        <w:rPr>
          <w:rFonts w:hint="eastAsia" w:ascii="宋体" w:hAnsi="宋体"/>
          <w:color w:val="FF0000"/>
          <w:szCs w:val="21"/>
          <w:lang w:eastAsia="zh-CN"/>
        </w:rPr>
        <w:t>单位</w:t>
      </w:r>
      <w:r>
        <w:rPr>
          <w:rFonts w:hint="eastAsia" w:ascii="宋体" w:hAnsi="宋体"/>
          <w:color w:val="FF0000"/>
          <w:szCs w:val="21"/>
        </w:rPr>
        <w:t>的投标报价，所有投标报价以人民币表示，投标人投标函报价单位为元，保留小数点后两位。</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4</w:t>
      </w:r>
      <w:r>
        <w:rPr>
          <w:rFonts w:hint="eastAsia" w:ascii="宋体" w:hAnsi="宋体"/>
          <w:szCs w:val="21"/>
        </w:rPr>
        <w:t>、投标单位须具有独立法人资格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pStyle w:val="2"/>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6、投标单位须提供质量承诺书。</w:t>
      </w:r>
    </w:p>
    <w:p w14:paraId="65C81139">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7、投标单位须提供一般纳税人证明。</w:t>
      </w:r>
    </w:p>
    <w:p w14:paraId="3E54A3F5">
      <w:pPr>
        <w:autoSpaceDE w:val="0"/>
        <w:autoSpaceDN w:val="0"/>
        <w:adjustRightInd w:val="0"/>
        <w:snapToGrid w:val="0"/>
        <w:spacing w:line="480" w:lineRule="exact"/>
        <w:ind w:firstLine="630" w:firstLineChars="300"/>
        <w:rPr>
          <w:rFonts w:hint="default"/>
          <w:lang w:val="en-US" w:eastAsia="zh-CN"/>
        </w:rPr>
      </w:pPr>
      <w:r>
        <w:rPr>
          <w:rFonts w:hint="eastAsia" w:ascii="宋体" w:hAnsi="宋体" w:eastAsia="宋体" w:cs="Times New Roman"/>
          <w:b w:val="0"/>
          <w:kern w:val="2"/>
          <w:sz w:val="21"/>
          <w:szCs w:val="21"/>
          <w:lang w:val="en-US" w:eastAsia="zh-CN" w:bidi="ar-SA"/>
        </w:rPr>
        <w:t>8、投标单位</w:t>
      </w:r>
      <w:r>
        <w:rPr>
          <w:rFonts w:hint="eastAsia" w:ascii="宋体" w:hAnsi="宋体" w:cs="Times New Roman"/>
          <w:b w:val="0"/>
          <w:kern w:val="2"/>
          <w:sz w:val="21"/>
          <w:szCs w:val="21"/>
          <w:lang w:val="en-US" w:eastAsia="zh-CN" w:bidi="ar-SA"/>
        </w:rPr>
        <w:t>需对铁艺栏杆进行深化设计并经建设单位确认</w:t>
      </w:r>
      <w:r>
        <w:rPr>
          <w:rFonts w:hint="eastAsia" w:ascii="宋体" w:hAnsi="宋体" w:eastAsia="宋体" w:cs="Times New Roman"/>
          <w:b w:val="0"/>
          <w:kern w:val="2"/>
          <w:sz w:val="21"/>
          <w:szCs w:val="21"/>
          <w:lang w:val="en-US" w:eastAsia="zh-CN" w:bidi="ar-SA"/>
        </w:rPr>
        <w:t>。</w:t>
      </w:r>
    </w:p>
    <w:p w14:paraId="62A959DD">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9、</w:t>
      </w:r>
      <w:r>
        <w:rPr>
          <w:rFonts w:hint="eastAsia" w:ascii="宋体" w:hAnsi="宋体"/>
          <w:szCs w:val="21"/>
        </w:rPr>
        <w:t>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2C811DC6">
      <w:pPr>
        <w:autoSpaceDE w:val="0"/>
        <w:autoSpaceDN w:val="0"/>
        <w:adjustRightInd w:val="0"/>
        <w:snapToGrid w:val="0"/>
        <w:spacing w:line="480" w:lineRule="exact"/>
        <w:ind w:firstLine="561"/>
        <w:rPr>
          <w:rFonts w:hint="eastAsia" w:ascii="宋体" w:hAnsi="宋体"/>
          <w:color w:val="auto"/>
          <w:szCs w:val="21"/>
          <w:u w:val="single"/>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000000"/>
          <w:szCs w:val="21"/>
          <w:lang w:val="en-US" w:eastAsia="zh-CN"/>
        </w:rPr>
        <w:t>供货结束经甲方验收合格后</w:t>
      </w:r>
      <w:r>
        <w:rPr>
          <w:rFonts w:hint="eastAsia" w:ascii="宋体" w:hAnsi="宋体"/>
          <w:color w:val="000000"/>
          <w:szCs w:val="21"/>
          <w:lang w:eastAsia="zh-CN"/>
        </w:rPr>
        <w:t>付至实际供货量的40%（不超过合同价的40%），</w:t>
      </w:r>
      <w:r>
        <w:rPr>
          <w:rFonts w:hint="eastAsia" w:ascii="宋体" w:hAnsi="宋体" w:cs="Times New Roman"/>
          <w:color w:val="000000"/>
          <w:szCs w:val="21"/>
        </w:rPr>
        <w:t>工程</w:t>
      </w:r>
      <w:r>
        <w:rPr>
          <w:rFonts w:hint="eastAsia" w:ascii="宋体" w:hAnsi="宋体" w:cs="Times New Roman"/>
          <w:color w:val="000000"/>
          <w:szCs w:val="21"/>
          <w:lang w:val="en-US" w:eastAsia="zh-CN"/>
        </w:rPr>
        <w:t>竣工验收合格</w:t>
      </w:r>
      <w:r>
        <w:rPr>
          <w:rFonts w:hint="eastAsia" w:ascii="宋体" w:hAnsi="宋体" w:cs="Times New Roman"/>
          <w:color w:val="000000"/>
          <w:szCs w:val="21"/>
        </w:rPr>
        <w:t>后付至实际供货</w:t>
      </w:r>
      <w:r>
        <w:rPr>
          <w:rFonts w:hint="eastAsia" w:ascii="宋体" w:hAnsi="宋体" w:cs="Times New Roman"/>
          <w:color w:val="000000"/>
          <w:szCs w:val="21"/>
          <w:lang w:val="en-US" w:eastAsia="zh-CN"/>
        </w:rPr>
        <w:t>量</w:t>
      </w:r>
      <w:r>
        <w:rPr>
          <w:rFonts w:hint="eastAsia" w:ascii="宋体" w:hAnsi="宋体" w:cs="Times New Roman"/>
          <w:color w:val="000000"/>
          <w:szCs w:val="21"/>
        </w:rPr>
        <w:t>的</w:t>
      </w:r>
      <w:r>
        <w:rPr>
          <w:rFonts w:hint="eastAsia" w:ascii="宋体" w:hAnsi="宋体" w:cs="Times New Roman"/>
          <w:color w:val="000000"/>
          <w:szCs w:val="21"/>
          <w:lang w:val="en-US" w:eastAsia="zh-CN"/>
        </w:rPr>
        <w:t>70</w:t>
      </w:r>
      <w:r>
        <w:rPr>
          <w:rFonts w:hint="eastAsia" w:ascii="宋体" w:hAnsi="宋体" w:cs="Times New Roman"/>
          <w:color w:val="000000"/>
          <w:szCs w:val="21"/>
        </w:rPr>
        <w:t>%(不超过合同价的</w:t>
      </w:r>
      <w:r>
        <w:rPr>
          <w:rFonts w:hint="eastAsia" w:ascii="宋体" w:hAnsi="宋体" w:cs="Times New Roman"/>
          <w:color w:val="000000"/>
          <w:szCs w:val="21"/>
          <w:lang w:val="en-US" w:eastAsia="zh-CN"/>
        </w:rPr>
        <w:t>7</w:t>
      </w:r>
      <w:r>
        <w:rPr>
          <w:rFonts w:hint="eastAsia" w:ascii="宋体" w:hAnsi="宋体" w:cs="Times New Roman"/>
          <w:color w:val="000000"/>
          <w:szCs w:val="21"/>
        </w:rPr>
        <w:t>0%)</w:t>
      </w:r>
      <w:r>
        <w:rPr>
          <w:rFonts w:hint="eastAsia" w:ascii="宋体" w:hAnsi="宋体"/>
          <w:color w:val="000000"/>
          <w:szCs w:val="21"/>
          <w:lang w:eastAsia="zh-CN"/>
        </w:rPr>
        <w:t>，工程</w:t>
      </w:r>
      <w:r>
        <w:rPr>
          <w:rFonts w:hint="eastAsia" w:ascii="宋体" w:hAnsi="宋体"/>
          <w:color w:val="000000"/>
          <w:szCs w:val="21"/>
        </w:rPr>
        <w:t>审计结束后付至实际供货</w:t>
      </w:r>
      <w:r>
        <w:rPr>
          <w:rFonts w:hint="eastAsia" w:ascii="宋体" w:hAnsi="宋体"/>
          <w:color w:val="000000"/>
          <w:szCs w:val="21"/>
          <w:lang w:val="en-US" w:eastAsia="zh-CN"/>
        </w:rPr>
        <w:t>量</w:t>
      </w:r>
      <w:r>
        <w:rPr>
          <w:rFonts w:hint="eastAsia" w:ascii="宋体" w:hAnsi="宋体"/>
          <w:color w:val="000000"/>
          <w:szCs w:val="21"/>
        </w:rPr>
        <w:t>的97%，两年质保期满后付清余款（无息）。以上材料款支付，需满足建设单位工程款已支付且按同比例支付材料款。</w:t>
      </w:r>
    </w:p>
    <w:p w14:paraId="5E1F6B9D">
      <w:pPr>
        <w:autoSpaceDE w:val="0"/>
        <w:autoSpaceDN w:val="0"/>
        <w:adjustRightInd w:val="0"/>
        <w:snapToGrid w:val="0"/>
        <w:spacing w:line="480" w:lineRule="exact"/>
        <w:ind w:firstLine="630" w:firstLineChars="300"/>
        <w:rPr>
          <w:rFonts w:hint="default" w:ascii="宋体" w:hAnsi="宋体"/>
          <w:color w:val="auto"/>
          <w:szCs w:val="21"/>
          <w:u w:val="single"/>
          <w:lang w:val="en-US" w:eastAsia="zh-CN"/>
        </w:rPr>
      </w:pPr>
      <w:r>
        <w:rPr>
          <w:rFonts w:hint="eastAsia" w:ascii="宋体" w:hAnsi="宋体" w:cs="Times New Roman"/>
          <w:color w:val="auto"/>
          <w:szCs w:val="21"/>
          <w:lang w:val="en-US" w:eastAsia="zh-CN"/>
        </w:rPr>
        <w:t>⑧质保期：2年。</w:t>
      </w:r>
    </w:p>
    <w:p w14:paraId="2F118E52">
      <w:pPr>
        <w:spacing w:line="360" w:lineRule="auto"/>
        <w:ind w:firstLine="630" w:firstLineChars="300"/>
        <w:jc w:val="left"/>
        <w:rPr>
          <w:rFonts w:hint="eastAsia"/>
          <w:lang w:val="en-US" w:eastAsia="zh-CN"/>
        </w:rPr>
      </w:pPr>
      <w:r>
        <w:rPr>
          <w:rFonts w:hint="eastAsia" w:ascii="宋体" w:hAnsi="宋体"/>
          <w:color w:val="000000"/>
          <w:szCs w:val="21"/>
        </w:rPr>
        <w:t>⑨违约责任。</w:t>
      </w:r>
    </w:p>
    <w:p w14:paraId="27296A0A">
      <w:pPr>
        <w:autoSpaceDE w:val="0"/>
        <w:autoSpaceDN w:val="0"/>
        <w:adjustRightInd w:val="0"/>
        <w:snapToGrid w:val="0"/>
        <w:spacing w:line="480" w:lineRule="exact"/>
        <w:ind w:firstLine="630" w:firstLineChars="300"/>
        <w:rPr>
          <w:rFonts w:hint="eastAsia" w:ascii="宋体" w:hAnsi="宋体"/>
          <w:color w:val="000000"/>
          <w:szCs w:val="21"/>
        </w:rPr>
      </w:pPr>
      <w:r>
        <w:rPr>
          <w:rFonts w:hint="eastAsia" w:ascii="宋体" w:hAnsi="宋体"/>
          <w:color w:val="000000"/>
          <w:szCs w:val="21"/>
        </w:rPr>
        <w:t>⑩解决合同纠纷的方式：因履行本合同发生争议，如当事人协商不成，由</w:t>
      </w:r>
    </w:p>
    <w:p w14:paraId="68812748">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lang w:eastAsia="zh-CN"/>
        </w:rPr>
        <w:t>（一）</w:t>
      </w: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14EE9650">
      <w:pPr>
        <w:numPr>
          <w:ilvl w:val="0"/>
          <w:numId w:val="0"/>
        </w:numPr>
        <w:autoSpaceDE w:val="0"/>
        <w:autoSpaceDN w:val="0"/>
        <w:adjustRightInd w:val="0"/>
        <w:snapToGrid w:val="0"/>
        <w:spacing w:line="480" w:lineRule="exact"/>
        <w:ind w:firstLine="630" w:firstLineChars="300"/>
        <w:rPr>
          <w:rFonts w:hint="eastAsia" w:ascii="宋体" w:hAnsi="宋体"/>
          <w:color w:val="000000"/>
          <w:szCs w:val="21"/>
          <w:lang w:eastAsia="zh-CN"/>
        </w:rPr>
      </w:pPr>
      <w:r>
        <w:rPr>
          <w:rFonts w:hint="eastAsia" w:ascii="宋体" w:hAnsi="宋体" w:eastAsia="宋体" w:cs="Times New Roman"/>
          <w:color w:val="000000"/>
          <w:kern w:val="2"/>
          <w:sz w:val="21"/>
          <w:szCs w:val="21"/>
          <w:lang w:val="en-US" w:eastAsia="zh-CN" w:bidi="ar-SA"/>
        </w:rPr>
        <w:t>⑪　</w:t>
      </w:r>
      <w:r>
        <w:rPr>
          <w:rFonts w:hint="eastAsia" w:ascii="宋体" w:hAnsi="宋体"/>
          <w:color w:val="000000"/>
          <w:szCs w:val="21"/>
        </w:rPr>
        <w:t>其他约定事项。</w:t>
      </w:r>
    </w:p>
    <w:p w14:paraId="6C0E6C66">
      <w:pPr>
        <w:pStyle w:val="21"/>
        <w:rPr>
          <w:rFonts w:hint="eastAsia"/>
          <w:lang w:eastAsia="zh-CN"/>
        </w:rPr>
      </w:pPr>
    </w:p>
    <w:p w14:paraId="1E9BB0D1">
      <w:pPr>
        <w:jc w:val="both"/>
        <w:outlineLvl w:val="0"/>
        <w:rPr>
          <w:rFonts w:hint="eastAsia" w:ascii="黑体" w:hAnsi="黑体" w:eastAsia="黑体" w:cs="黑体"/>
          <w:b/>
          <w:sz w:val="72"/>
          <w:szCs w:val="72"/>
          <w:lang w:eastAsia="zh-CN"/>
        </w:rPr>
      </w:pPr>
    </w:p>
    <w:p w14:paraId="2B65266D">
      <w:pPr>
        <w:jc w:val="both"/>
        <w:outlineLvl w:val="0"/>
        <w:rPr>
          <w:rFonts w:hint="eastAsia" w:ascii="黑体" w:hAnsi="黑体" w:eastAsia="黑体" w:cs="黑体"/>
          <w:b/>
          <w:sz w:val="72"/>
          <w:szCs w:val="72"/>
          <w:lang w:eastAsia="zh-CN"/>
        </w:rPr>
      </w:pPr>
    </w:p>
    <w:p w14:paraId="267419B7">
      <w:pPr>
        <w:jc w:val="both"/>
        <w:outlineLvl w:val="0"/>
        <w:rPr>
          <w:rFonts w:hint="eastAsia" w:ascii="黑体" w:hAnsi="黑体" w:eastAsia="黑体" w:cs="黑体"/>
          <w:b/>
          <w:sz w:val="72"/>
          <w:szCs w:val="72"/>
          <w:lang w:eastAsia="zh-CN"/>
        </w:rPr>
      </w:pPr>
    </w:p>
    <w:p w14:paraId="40FAF78E">
      <w:pPr>
        <w:jc w:val="both"/>
        <w:outlineLvl w:val="0"/>
        <w:rPr>
          <w:rFonts w:hint="eastAsia" w:ascii="黑体" w:hAnsi="黑体" w:eastAsia="黑体" w:cs="黑体"/>
          <w:b/>
          <w:sz w:val="72"/>
          <w:szCs w:val="72"/>
          <w:lang w:eastAsia="zh-CN"/>
        </w:rPr>
      </w:pPr>
    </w:p>
    <w:p w14:paraId="5A4ECE44">
      <w:pPr>
        <w:jc w:val="both"/>
        <w:outlineLvl w:val="0"/>
        <w:rPr>
          <w:rFonts w:hint="eastAsia" w:ascii="黑体" w:hAnsi="黑体" w:eastAsia="黑体" w:cs="黑体"/>
          <w:b/>
          <w:sz w:val="72"/>
          <w:szCs w:val="72"/>
          <w:lang w:eastAsia="zh-CN"/>
        </w:rPr>
      </w:pPr>
    </w:p>
    <w:p w14:paraId="0F4606CC">
      <w:pPr>
        <w:pStyle w:val="8"/>
        <w:rPr>
          <w:rFonts w:hint="eastAsia" w:ascii="黑体" w:hAnsi="黑体" w:eastAsia="黑体" w:cs="黑体"/>
          <w:b/>
          <w:sz w:val="72"/>
          <w:szCs w:val="72"/>
          <w:lang w:eastAsia="zh-CN"/>
        </w:rPr>
      </w:pPr>
    </w:p>
    <w:p w14:paraId="4E046C3C">
      <w:pPr>
        <w:rPr>
          <w:rFonts w:hint="eastAsia" w:ascii="黑体" w:hAnsi="黑体" w:eastAsia="黑体" w:cs="黑体"/>
          <w:b/>
          <w:sz w:val="72"/>
          <w:szCs w:val="72"/>
          <w:lang w:eastAsia="zh-CN"/>
        </w:rPr>
      </w:pPr>
    </w:p>
    <w:p w14:paraId="2B93C876">
      <w:pPr>
        <w:rPr>
          <w:rFonts w:hint="eastAsia" w:ascii="黑体" w:hAnsi="黑体" w:eastAsia="黑体" w:cs="黑体"/>
          <w:b/>
          <w:sz w:val="72"/>
          <w:szCs w:val="72"/>
          <w:lang w:eastAsia="zh-CN"/>
        </w:rPr>
      </w:pPr>
    </w:p>
    <w:p w14:paraId="5DE1AA6A">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
        <w:rPr>
          <w:rFonts w:hint="eastAsia"/>
          <w:lang w:eastAsia="zh-CN"/>
        </w:rPr>
      </w:pPr>
    </w:p>
    <w:p w14:paraId="22FFDF3C">
      <w:pPr>
        <w:pStyle w:val="3"/>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
        <w:rPr>
          <w:rFonts w:hint="eastAsia"/>
        </w:rPr>
      </w:pPr>
    </w:p>
    <w:p w14:paraId="4C59DDD4">
      <w:pPr>
        <w:pStyle w:val="3"/>
        <w:rPr>
          <w:rFonts w:hint="eastAsia"/>
        </w:rPr>
      </w:pPr>
    </w:p>
    <w:p w14:paraId="3B8C9433">
      <w:pPr>
        <w:pStyle w:val="3"/>
        <w:rPr>
          <w:rFonts w:hint="eastAsia"/>
        </w:rPr>
      </w:pPr>
    </w:p>
    <w:p w14:paraId="25AC1AD1">
      <w:pPr>
        <w:pStyle w:val="3"/>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8"/>
        <w:ind w:left="1260"/>
        <w:rPr>
          <w:color w:val="000000" w:themeColor="text1"/>
          <w14:textFill>
            <w14:solidFill>
              <w14:schemeClr w14:val="tx1"/>
            </w14:solidFill>
          </w14:textFill>
        </w:rPr>
      </w:pPr>
    </w:p>
    <w:p w14:paraId="0E246894">
      <w:pPr>
        <w:pStyle w:val="8"/>
        <w:ind w:left="0" w:leftChars="0" w:firstLine="0" w:firstLineChars="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7EFC64DD">
      <w:pPr>
        <w:spacing w:line="720" w:lineRule="exact"/>
        <w:jc w:val="center"/>
        <w:rPr>
          <w:rFonts w:hint="eastAsia" w:ascii="黑体" w:eastAsia="黑体"/>
          <w:color w:val="000000"/>
          <w:sz w:val="36"/>
          <w:lang w:val="en-US" w:eastAsia="zh-CN"/>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6"/>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6"/>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6"/>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6"/>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4" w:type="default"/>
          <w:pgSz w:w="11907" w:h="16840"/>
          <w:pgMar w:top="1247" w:right="1134" w:bottom="1134" w:left="1134" w:header="851" w:footer="992" w:gutter="0"/>
          <w:pgNumType w:fmt="decimal" w:start="1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5" w:type="default"/>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依照《中华人民共和国民法典》及国家相关法律、法规规定，遵循平等、自愿、公平和诚实信用的原则，甲、乙方就市民中心地下室改造项目</w:t>
      </w:r>
      <w:r>
        <w:rPr>
          <w:rFonts w:hint="eastAsia" w:ascii="方正仿宋_GBK" w:hAnsi="方正仿宋_GBK" w:eastAsia="方正仿宋_GBK" w:cs="方正仿宋_GBK"/>
          <w:color w:val="000000"/>
          <w:sz w:val="24"/>
          <w:lang w:val="en-US" w:eastAsia="zh-CN"/>
        </w:rPr>
        <w:t>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8"/>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w:t>
      </w:r>
      <w:r>
        <w:rPr>
          <w:rFonts w:hint="eastAsia" w:ascii="方正仿宋_GBK" w:hAnsi="方正仿宋_GBK" w:eastAsia="方正仿宋_GBK" w:cs="方正仿宋_GBK"/>
          <w:color w:val="000000"/>
          <w:sz w:val="24"/>
          <w:lang w:val="en-US" w:eastAsia="zh-CN"/>
        </w:rPr>
        <w:t>、卸货费用，</w:t>
      </w:r>
      <w:r>
        <w:rPr>
          <w:rFonts w:hint="eastAsia" w:ascii="方正仿宋_GBK" w:hAnsi="方正仿宋_GBK" w:eastAsia="方正仿宋_GBK" w:cs="方正仿宋_GBK"/>
          <w:color w:val="000000"/>
          <w:sz w:val="24"/>
        </w:rPr>
        <w:t>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69C6D628">
      <w:pPr>
        <w:numPr>
          <w:ilvl w:val="0"/>
          <w:numId w:val="3"/>
        </w:numPr>
        <w:spacing w:line="640" w:lineRule="exact"/>
        <w:ind w:leftChars="0"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供货结束经甲方验收合格后</w:t>
      </w:r>
      <w:r>
        <w:rPr>
          <w:rFonts w:hint="eastAsia" w:ascii="方正仿宋_GBK" w:hAnsi="方正仿宋_GBK" w:eastAsia="方正仿宋_GBK" w:cs="方正仿宋_GBK"/>
          <w:sz w:val="24"/>
          <w:u w:val="single"/>
          <w:lang w:eastAsia="zh-CN"/>
        </w:rPr>
        <w:t>付至实际供货量的40%（不超过合同价的40%），</w:t>
      </w:r>
      <w:r>
        <w:rPr>
          <w:rFonts w:hint="eastAsia" w:ascii="方正仿宋_GBK" w:hAnsi="方正仿宋_GBK" w:eastAsia="方正仿宋_GBK" w:cs="方正仿宋_GBK"/>
          <w:sz w:val="24"/>
          <w:u w:val="single"/>
        </w:rPr>
        <w:t>工程</w:t>
      </w:r>
      <w:r>
        <w:rPr>
          <w:rFonts w:hint="eastAsia" w:ascii="方正仿宋_GBK" w:hAnsi="方正仿宋_GBK" w:eastAsia="方正仿宋_GBK" w:cs="方正仿宋_GBK"/>
          <w:sz w:val="24"/>
          <w:u w:val="single"/>
          <w:lang w:val="en-US" w:eastAsia="zh-CN"/>
        </w:rPr>
        <w:t>竣工验收合格</w:t>
      </w:r>
      <w:r>
        <w:rPr>
          <w:rFonts w:hint="eastAsia" w:ascii="方正仿宋_GBK" w:hAnsi="方正仿宋_GBK" w:eastAsia="方正仿宋_GBK" w:cs="方正仿宋_GBK"/>
          <w:sz w:val="24"/>
          <w:u w:val="single"/>
        </w:rPr>
        <w:t>后付至实际供货</w:t>
      </w:r>
      <w:r>
        <w:rPr>
          <w:rFonts w:hint="eastAsia" w:ascii="方正仿宋_GBK" w:hAnsi="方正仿宋_GBK" w:eastAsia="方正仿宋_GBK" w:cs="方正仿宋_GBK"/>
          <w:sz w:val="24"/>
          <w:u w:val="single"/>
          <w:lang w:val="en-US" w:eastAsia="zh-CN"/>
        </w:rPr>
        <w:t>量</w:t>
      </w:r>
      <w:r>
        <w:rPr>
          <w:rFonts w:hint="eastAsia" w:ascii="方正仿宋_GBK" w:hAnsi="方正仿宋_GBK" w:eastAsia="方正仿宋_GBK" w:cs="方正仿宋_GBK"/>
          <w:sz w:val="24"/>
          <w:u w:val="single"/>
        </w:rPr>
        <w:t>的</w:t>
      </w:r>
      <w:r>
        <w:rPr>
          <w:rFonts w:hint="eastAsia" w:ascii="方正仿宋_GBK" w:hAnsi="方正仿宋_GBK" w:eastAsia="方正仿宋_GBK" w:cs="方正仿宋_GBK"/>
          <w:sz w:val="24"/>
          <w:u w:val="single"/>
          <w:lang w:val="en-US" w:eastAsia="zh-CN"/>
        </w:rPr>
        <w:t>70</w:t>
      </w:r>
      <w:r>
        <w:rPr>
          <w:rFonts w:hint="eastAsia" w:ascii="方正仿宋_GBK" w:hAnsi="方正仿宋_GBK" w:eastAsia="方正仿宋_GBK" w:cs="方正仿宋_GBK"/>
          <w:sz w:val="24"/>
          <w:u w:val="single"/>
        </w:rPr>
        <w:t>%(不超过合同价的</w:t>
      </w:r>
      <w:r>
        <w:rPr>
          <w:rFonts w:hint="eastAsia" w:ascii="方正仿宋_GBK" w:hAnsi="方正仿宋_GBK" w:eastAsia="方正仿宋_GBK" w:cs="方正仿宋_GBK"/>
          <w:sz w:val="24"/>
          <w:u w:val="single"/>
          <w:lang w:val="en-US" w:eastAsia="zh-CN"/>
        </w:rPr>
        <w:t>7</w:t>
      </w:r>
      <w:r>
        <w:rPr>
          <w:rFonts w:hint="eastAsia" w:ascii="方正仿宋_GBK" w:hAnsi="方正仿宋_GBK" w:eastAsia="方正仿宋_GBK" w:cs="方正仿宋_GBK"/>
          <w:sz w:val="24"/>
          <w:u w:val="single"/>
        </w:rPr>
        <w:t>0%)</w:t>
      </w:r>
      <w:r>
        <w:rPr>
          <w:rFonts w:hint="eastAsia" w:ascii="方正仿宋_GBK" w:hAnsi="方正仿宋_GBK" w:eastAsia="方正仿宋_GBK" w:cs="方正仿宋_GBK"/>
          <w:sz w:val="24"/>
          <w:u w:val="single"/>
          <w:lang w:eastAsia="zh-CN"/>
        </w:rPr>
        <w:t>，工程</w:t>
      </w:r>
      <w:r>
        <w:rPr>
          <w:rFonts w:hint="eastAsia" w:ascii="方正仿宋_GBK" w:hAnsi="方正仿宋_GBK" w:eastAsia="方正仿宋_GBK" w:cs="方正仿宋_GBK"/>
          <w:sz w:val="24"/>
          <w:u w:val="single"/>
        </w:rPr>
        <w:t>审计结束后付至实际供货</w:t>
      </w:r>
      <w:r>
        <w:rPr>
          <w:rFonts w:hint="eastAsia" w:ascii="方正仿宋_GBK" w:hAnsi="方正仿宋_GBK" w:eastAsia="方正仿宋_GBK" w:cs="方正仿宋_GBK"/>
          <w:sz w:val="24"/>
          <w:u w:val="single"/>
          <w:lang w:val="en-US" w:eastAsia="zh-CN"/>
        </w:rPr>
        <w:t>量</w:t>
      </w:r>
      <w:r>
        <w:rPr>
          <w:rFonts w:hint="eastAsia" w:ascii="方正仿宋_GBK" w:hAnsi="方正仿宋_GBK" w:eastAsia="方正仿宋_GBK" w:cs="方正仿宋_GBK"/>
          <w:sz w:val="24"/>
          <w:u w:val="single"/>
        </w:rPr>
        <w:t>的97%，两年质保期满后付清余款（无息）。以上材料款支付，需满足建设单位工程款已支付且按同比例支付材料款。</w:t>
      </w:r>
    </w:p>
    <w:p w14:paraId="66B47B68">
      <w:pPr>
        <w:numPr>
          <w:ilvl w:val="0"/>
          <w:numId w:val="0"/>
        </w:numPr>
        <w:spacing w:line="640" w:lineRule="exact"/>
        <w:ind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bCs/>
          <w:sz w:val="24"/>
          <w:lang w:eastAsia="zh-CN"/>
        </w:rPr>
        <w:t>，税率为</w:t>
      </w:r>
      <w:r>
        <w:rPr>
          <w:rFonts w:hint="eastAsia" w:ascii="方正仿宋_GBK" w:hAnsi="方正仿宋_GBK" w:eastAsia="方正仿宋_GBK" w:cs="方正仿宋_GBK"/>
          <w:bCs/>
          <w:sz w:val="24"/>
          <w:u w:val="single"/>
          <w:lang w:val="en-US" w:eastAsia="zh-CN"/>
        </w:rPr>
        <w:t>13%</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val="en-US" w:eastAsia="zh-CN"/>
        </w:rPr>
        <w:t xml:space="preserve"> </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 xml:space="preserve"> </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8"/>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8"/>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6"/>
        <w:jc w:val="center"/>
      </w:pPr>
    </w:p>
    <w:p w14:paraId="1ADFE595">
      <w:pPr>
        <w:spacing w:line="360" w:lineRule="auto"/>
        <w:jc w:val="both"/>
        <w:rPr>
          <w:rFonts w:hint="eastAsia" w:ascii="宋体" w:hAnsi="宋体" w:cs="宋体"/>
          <w:b/>
          <w:bCs/>
          <w:sz w:val="32"/>
          <w:szCs w:val="32"/>
        </w:rPr>
        <w:sectPr>
          <w:headerReference r:id="rId7" w:type="default"/>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5"/>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w:t>
      </w:r>
      <w:r>
        <w:rPr>
          <w:rFonts w:hint="eastAsia" w:ascii="方正仿宋_GBK" w:hAnsi="方正仿宋_GBK" w:eastAsia="方正仿宋_GBK" w:cs="方正仿宋_GBK"/>
          <w:b/>
          <w:sz w:val="24"/>
          <w:szCs w:val="24"/>
          <w:u w:val="none"/>
        </w:rPr>
        <w:t>称：</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sz w:val="24"/>
          <w:szCs w:val="24"/>
          <w:u w:val="single"/>
          <w:lang w:val="en-US" w:eastAsia="zh-CN"/>
        </w:rPr>
        <w:t xml:space="preserve">        材料采购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6"/>
        <w:rPr>
          <w:color w:val="000000" w:themeColor="text1"/>
          <w14:textFill>
            <w14:solidFill>
              <w14:schemeClr w14:val="tx1"/>
            </w14:solidFill>
          </w14:textFill>
        </w:rPr>
      </w:pPr>
    </w:p>
    <w:sectPr>
      <w:footerReference r:id="rId9"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F947C7-B3F7-4649-BA52-2911015B0E7A}"/>
  </w:font>
  <w:font w:name="黑体">
    <w:panose1 w:val="02010609060101010101"/>
    <w:charset w:val="86"/>
    <w:family w:val="auto"/>
    <w:pitch w:val="default"/>
    <w:sig w:usb0="800002BF" w:usb1="38CF7CFA" w:usb2="00000016" w:usb3="00000000" w:csb0="00040001" w:csb1="00000000"/>
    <w:embedRegular r:id="rId2" w:fontKey="{A9DE338C-B264-4302-8B21-66BFC4EA3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DAE690C-2DD2-47EB-AFCC-3E441FE6A79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4" w:fontKey="{A1B127D0-30C2-4A24-AA6B-D903B9D232D2}"/>
  </w:font>
  <w:font w:name="WPSEMBED7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embedRegular r:id="rId5" w:fontKey="{9B2400A7-4B82-49BF-A7CD-FEA9481FBADB}"/>
  </w:font>
  <w:font w:name="楷体_GB2312">
    <w:panose1 w:val="02010609030101010101"/>
    <w:charset w:val="86"/>
    <w:family w:val="modern"/>
    <w:pitch w:val="default"/>
    <w:sig w:usb0="00000001" w:usb1="080E0000" w:usb2="00000000" w:usb3="00000000" w:csb0="00040000" w:csb1="00000000"/>
    <w:embedRegular r:id="rId6" w:fontKey="{9CFF789B-2F3E-4CF1-9BAA-263B6434D5FA}"/>
  </w:font>
  <w:font w:name="方正小标宋_GBK">
    <w:panose1 w:val="03000509000000000000"/>
    <w:charset w:val="86"/>
    <w:family w:val="auto"/>
    <w:pitch w:val="default"/>
    <w:sig w:usb0="00000001" w:usb1="080E0000" w:usb2="00000000" w:usb3="00000000" w:csb0="00040000" w:csb1="00000000"/>
    <w:embedRegular r:id="rId7" w:fontKey="{68C97600-4937-4C85-91C3-9321CBBF6032}"/>
  </w:font>
  <w:font w:name="仿宋">
    <w:panose1 w:val="02010609060101010101"/>
    <w:charset w:val="86"/>
    <w:family w:val="auto"/>
    <w:pitch w:val="default"/>
    <w:sig w:usb0="800002BF" w:usb1="38CF7CFA" w:usb2="00000016" w:usb3="00000000" w:csb0="00040001" w:csb1="00000000"/>
    <w:embedRegular r:id="rId8" w:fontKey="{D4475158-D356-4820-995C-F22F92D407C4}"/>
  </w:font>
  <w:font w:name="WPSEMBED73">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B840">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6F95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C6F95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58A0">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A2A8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5A2A8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6601"/>
    <w:multiLevelType w:val="singleLevel"/>
    <w:tmpl w:val="05BF6601"/>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83C46"/>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756DEB"/>
    <w:rsid w:val="04ED064B"/>
    <w:rsid w:val="04FD5457"/>
    <w:rsid w:val="05235BBF"/>
    <w:rsid w:val="05616943"/>
    <w:rsid w:val="057A6F83"/>
    <w:rsid w:val="06574153"/>
    <w:rsid w:val="069C3A07"/>
    <w:rsid w:val="07B132EE"/>
    <w:rsid w:val="0800541A"/>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1EE6BFA"/>
    <w:rsid w:val="122657AD"/>
    <w:rsid w:val="12AD1419"/>
    <w:rsid w:val="12EA5FE1"/>
    <w:rsid w:val="13141EF4"/>
    <w:rsid w:val="137837D5"/>
    <w:rsid w:val="15303EB5"/>
    <w:rsid w:val="153951E6"/>
    <w:rsid w:val="158F2D02"/>
    <w:rsid w:val="16924BAE"/>
    <w:rsid w:val="16D64DEC"/>
    <w:rsid w:val="1748310D"/>
    <w:rsid w:val="17AA4179"/>
    <w:rsid w:val="18282018"/>
    <w:rsid w:val="185D708E"/>
    <w:rsid w:val="18D9355E"/>
    <w:rsid w:val="192D0BBE"/>
    <w:rsid w:val="1A933FAF"/>
    <w:rsid w:val="1AC63078"/>
    <w:rsid w:val="1B32070E"/>
    <w:rsid w:val="1B863EE4"/>
    <w:rsid w:val="1BC96078"/>
    <w:rsid w:val="1CB533A4"/>
    <w:rsid w:val="1CFE340E"/>
    <w:rsid w:val="1D052DC9"/>
    <w:rsid w:val="1D524DB7"/>
    <w:rsid w:val="1E14059F"/>
    <w:rsid w:val="1E4B2C37"/>
    <w:rsid w:val="1E6225BB"/>
    <w:rsid w:val="1EA31154"/>
    <w:rsid w:val="1EC21A64"/>
    <w:rsid w:val="1EC92A20"/>
    <w:rsid w:val="1F0E4671"/>
    <w:rsid w:val="206C021E"/>
    <w:rsid w:val="20A951E7"/>
    <w:rsid w:val="20CA13E8"/>
    <w:rsid w:val="226D193C"/>
    <w:rsid w:val="22A40E2D"/>
    <w:rsid w:val="22E23D79"/>
    <w:rsid w:val="2317480F"/>
    <w:rsid w:val="244622E1"/>
    <w:rsid w:val="25D5357C"/>
    <w:rsid w:val="25D925CC"/>
    <w:rsid w:val="260C121F"/>
    <w:rsid w:val="26BA2DC8"/>
    <w:rsid w:val="26E30BFE"/>
    <w:rsid w:val="27F5599D"/>
    <w:rsid w:val="28994243"/>
    <w:rsid w:val="28E0030A"/>
    <w:rsid w:val="28E66D39"/>
    <w:rsid w:val="29914D90"/>
    <w:rsid w:val="2A2E41B5"/>
    <w:rsid w:val="2B4431B2"/>
    <w:rsid w:val="2B794F42"/>
    <w:rsid w:val="2CA37518"/>
    <w:rsid w:val="2E8E1EAB"/>
    <w:rsid w:val="2F7F766D"/>
    <w:rsid w:val="2FFE5B53"/>
    <w:rsid w:val="302C4955"/>
    <w:rsid w:val="30730B34"/>
    <w:rsid w:val="308C2216"/>
    <w:rsid w:val="31A368A5"/>
    <w:rsid w:val="31F0483A"/>
    <w:rsid w:val="3220530C"/>
    <w:rsid w:val="32BF2D9F"/>
    <w:rsid w:val="32CA33D5"/>
    <w:rsid w:val="32E43D91"/>
    <w:rsid w:val="33976056"/>
    <w:rsid w:val="34804ED0"/>
    <w:rsid w:val="34EC7159"/>
    <w:rsid w:val="35126C18"/>
    <w:rsid w:val="359F24A9"/>
    <w:rsid w:val="377C1237"/>
    <w:rsid w:val="37AF7C77"/>
    <w:rsid w:val="37CE7A02"/>
    <w:rsid w:val="38EF191E"/>
    <w:rsid w:val="3A7043D6"/>
    <w:rsid w:val="3B223EA3"/>
    <w:rsid w:val="3B257EFE"/>
    <w:rsid w:val="3B9545AF"/>
    <w:rsid w:val="3BE3534E"/>
    <w:rsid w:val="3C646ABC"/>
    <w:rsid w:val="3C691FB0"/>
    <w:rsid w:val="3CA8662A"/>
    <w:rsid w:val="3CB00D71"/>
    <w:rsid w:val="3D1E68EC"/>
    <w:rsid w:val="3F4645C5"/>
    <w:rsid w:val="3F8E7211"/>
    <w:rsid w:val="3FF839D9"/>
    <w:rsid w:val="40506A25"/>
    <w:rsid w:val="406069A9"/>
    <w:rsid w:val="41423887"/>
    <w:rsid w:val="416B77DA"/>
    <w:rsid w:val="420F0EF1"/>
    <w:rsid w:val="424B0183"/>
    <w:rsid w:val="43BC6694"/>
    <w:rsid w:val="442567B2"/>
    <w:rsid w:val="455547FD"/>
    <w:rsid w:val="4582210E"/>
    <w:rsid w:val="45A1630C"/>
    <w:rsid w:val="46875BAB"/>
    <w:rsid w:val="46E953C6"/>
    <w:rsid w:val="486F2E18"/>
    <w:rsid w:val="48711A0E"/>
    <w:rsid w:val="4883384F"/>
    <w:rsid w:val="48AB7822"/>
    <w:rsid w:val="49050C67"/>
    <w:rsid w:val="49066914"/>
    <w:rsid w:val="494D0F0C"/>
    <w:rsid w:val="49B818C5"/>
    <w:rsid w:val="4AD23574"/>
    <w:rsid w:val="4AE2147C"/>
    <w:rsid w:val="4AE83AA4"/>
    <w:rsid w:val="4AEF0FE5"/>
    <w:rsid w:val="4B7029BB"/>
    <w:rsid w:val="4BA210DE"/>
    <w:rsid w:val="4BBB78DA"/>
    <w:rsid w:val="4C3558DD"/>
    <w:rsid w:val="4CA44D12"/>
    <w:rsid w:val="4ECF28B8"/>
    <w:rsid w:val="4FE34DE9"/>
    <w:rsid w:val="50B6349B"/>
    <w:rsid w:val="50D92A99"/>
    <w:rsid w:val="511B5891"/>
    <w:rsid w:val="513F3A5E"/>
    <w:rsid w:val="516A7EFA"/>
    <w:rsid w:val="51A82DBE"/>
    <w:rsid w:val="523634E2"/>
    <w:rsid w:val="527979FE"/>
    <w:rsid w:val="5302488E"/>
    <w:rsid w:val="53361833"/>
    <w:rsid w:val="53A92F5C"/>
    <w:rsid w:val="563034C0"/>
    <w:rsid w:val="567C0A12"/>
    <w:rsid w:val="56A8222D"/>
    <w:rsid w:val="56D62531"/>
    <w:rsid w:val="571E1031"/>
    <w:rsid w:val="5731653C"/>
    <w:rsid w:val="5774785F"/>
    <w:rsid w:val="58277A0D"/>
    <w:rsid w:val="58A65CBC"/>
    <w:rsid w:val="58D355C2"/>
    <w:rsid w:val="58D6764A"/>
    <w:rsid w:val="59046DCF"/>
    <w:rsid w:val="59B57910"/>
    <w:rsid w:val="59D52356"/>
    <w:rsid w:val="5B463C4C"/>
    <w:rsid w:val="5B7351F1"/>
    <w:rsid w:val="5C5B429D"/>
    <w:rsid w:val="5D582E82"/>
    <w:rsid w:val="5E445D2E"/>
    <w:rsid w:val="5F795ED8"/>
    <w:rsid w:val="612366A0"/>
    <w:rsid w:val="6279082B"/>
    <w:rsid w:val="62C31218"/>
    <w:rsid w:val="6370314E"/>
    <w:rsid w:val="64747F00"/>
    <w:rsid w:val="64FD6B36"/>
    <w:rsid w:val="65EB0E69"/>
    <w:rsid w:val="6673154E"/>
    <w:rsid w:val="66746855"/>
    <w:rsid w:val="667F60B7"/>
    <w:rsid w:val="66A870A3"/>
    <w:rsid w:val="66C44D3E"/>
    <w:rsid w:val="66F34328"/>
    <w:rsid w:val="66F35A29"/>
    <w:rsid w:val="678F10BD"/>
    <w:rsid w:val="68297D70"/>
    <w:rsid w:val="68537464"/>
    <w:rsid w:val="68561164"/>
    <w:rsid w:val="68C57F09"/>
    <w:rsid w:val="691B0D4C"/>
    <w:rsid w:val="69814491"/>
    <w:rsid w:val="6BBB4685"/>
    <w:rsid w:val="6CF272CA"/>
    <w:rsid w:val="6D0131CD"/>
    <w:rsid w:val="6D016897"/>
    <w:rsid w:val="6D116F45"/>
    <w:rsid w:val="6EC33740"/>
    <w:rsid w:val="6EE658EC"/>
    <w:rsid w:val="6FA2234A"/>
    <w:rsid w:val="6FC00FB9"/>
    <w:rsid w:val="6FD30157"/>
    <w:rsid w:val="715916C6"/>
    <w:rsid w:val="718A153D"/>
    <w:rsid w:val="71A646D5"/>
    <w:rsid w:val="726C5429"/>
    <w:rsid w:val="74870F29"/>
    <w:rsid w:val="749018A2"/>
    <w:rsid w:val="757E478A"/>
    <w:rsid w:val="75F0011F"/>
    <w:rsid w:val="7686731E"/>
    <w:rsid w:val="76CF68AD"/>
    <w:rsid w:val="778C2829"/>
    <w:rsid w:val="77D7083D"/>
    <w:rsid w:val="77E9764D"/>
    <w:rsid w:val="78135BBF"/>
    <w:rsid w:val="78387804"/>
    <w:rsid w:val="79D03971"/>
    <w:rsid w:val="7A546ECE"/>
    <w:rsid w:val="7AA15E8B"/>
    <w:rsid w:val="7AB53611"/>
    <w:rsid w:val="7B646DB9"/>
    <w:rsid w:val="7C013AC1"/>
    <w:rsid w:val="7C7575D0"/>
    <w:rsid w:val="7CC96F9F"/>
    <w:rsid w:val="7CCA4BCF"/>
    <w:rsid w:val="7DB6110D"/>
    <w:rsid w:val="7E5111F0"/>
    <w:rsid w:val="7E7C159E"/>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qFormat/>
    <w:uiPriority w:val="0"/>
    <w:rPr>
      <w:rFonts w:eastAsia="仿宋_GB2312"/>
      <w:sz w:val="30"/>
    </w:rPr>
  </w:style>
  <w:style w:type="paragraph" w:styleId="7">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qFormat/>
    <w:uiPriority w:val="99"/>
    <w:pPr>
      <w:ind w:left="600" w:leftChars="600"/>
    </w:pPr>
  </w:style>
  <w:style w:type="paragraph" w:styleId="9">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next w:val="17"/>
    <w:qFormat/>
    <w:uiPriority w:val="0"/>
    <w:pPr>
      <w:ind w:firstLine="420" w:firstLineChars="200"/>
    </w:pPr>
    <w:rPr>
      <w:szCs w:val="24"/>
    </w:r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character" w:customStyle="1" w:styleId="22">
    <w:name w:val="页眉 Char"/>
    <w:link w:val="13"/>
    <w:qFormat/>
    <w:uiPriority w:val="0"/>
    <w:rPr>
      <w:kern w:val="2"/>
      <w:sz w:val="18"/>
      <w:szCs w:val="18"/>
    </w:rPr>
  </w:style>
  <w:style w:type="character" w:customStyle="1" w:styleId="23">
    <w:name w:val="页脚 Char"/>
    <w:link w:val="12"/>
    <w:qFormat/>
    <w:uiPriority w:val="0"/>
    <w:rPr>
      <w:kern w:val="2"/>
      <w:sz w:val="18"/>
      <w:szCs w:val="18"/>
    </w:rPr>
  </w:style>
  <w:style w:type="character" w:customStyle="1" w:styleId="24">
    <w:name w:val="正文文本缩进 Char"/>
    <w:link w:val="7"/>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Table Text"/>
    <w:basedOn w:val="1"/>
    <w:semiHidden/>
    <w:qFormat/>
    <w:uiPriority w:val="0"/>
    <w:rPr>
      <w:rFonts w:ascii="楷体" w:hAnsi="楷体" w:eastAsia="楷体" w:cs="楷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962</Words>
  <Characters>1088</Characters>
  <Lines>30</Lines>
  <Paragraphs>8</Paragraphs>
  <TotalTime>15</TotalTime>
  <ScaleCrop>false</ScaleCrop>
  <LinksUpToDate>false</LinksUpToDate>
  <CharactersWithSpaces>1145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2026-01-05T07:47:06Z</cp:lastPrinted>
  <dcterms:modified xsi:type="dcterms:W3CDTF">2026-01-05T07:47:11Z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25D6883B5A57434CA9BF8DCB94FC97C9_13</vt:lpwstr>
  </property>
  <property fmtid="{D5CDD505-2E9C-101B-9397-08002B2CF9AE}" pid="4" name="KSOTemplateDocerSaveRecord">
    <vt:lpwstr>eyJoZGlkIjoiZTZmYTUzMDI2OTQ2ZDhhYTk4NGE3MGUyNWZiOTM3NzIiLCJ1c2VySWQiOiIxNjQ1Mzc3MjM2In0=</vt:lpwstr>
  </property>
</Properties>
</file>