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74CD40">
      <w:pPr>
        <w:adjustRightInd w:val="0"/>
        <w:snapToGrid w:val="0"/>
        <w:spacing w:line="360" w:lineRule="auto"/>
        <w:rPr>
          <w:rFonts w:hint="eastAsia" w:ascii="宋体" w:hAnsi="宋体" w:eastAsia="宋体" w:cs="宋体"/>
          <w:b/>
          <w:bCs/>
          <w:snapToGrid w:val="0"/>
          <w:color w:val="000000"/>
          <w:sz w:val="44"/>
          <w:szCs w:val="44"/>
          <w:highlight w:val="none"/>
          <w:u w:val="single"/>
        </w:rPr>
      </w:pPr>
    </w:p>
    <w:p w14:paraId="172B9A7C">
      <w:pPr>
        <w:adjustRightInd w:val="0"/>
        <w:snapToGrid w:val="0"/>
        <w:spacing w:line="360" w:lineRule="auto"/>
        <w:jc w:val="center"/>
        <w:rPr>
          <w:rFonts w:hint="eastAsia" w:ascii="宋体" w:hAnsi="宋体" w:eastAsia="宋体" w:cs="宋体"/>
          <w:b/>
          <w:color w:val="000000"/>
          <w:spacing w:val="28"/>
          <w:sz w:val="52"/>
          <w:szCs w:val="48"/>
          <w:highlight w:val="none"/>
          <w:lang w:val="en-US" w:eastAsia="zh-CN"/>
        </w:rPr>
      </w:pPr>
      <w:r>
        <w:rPr>
          <w:rFonts w:hint="eastAsia" w:ascii="宋体" w:hAnsi="宋体" w:cs="宋体"/>
          <w:b/>
          <w:color w:val="000000"/>
          <w:spacing w:val="28"/>
          <w:sz w:val="52"/>
          <w:szCs w:val="48"/>
          <w:highlight w:val="none"/>
          <w:lang w:val="en-US" w:eastAsia="zh-CN"/>
        </w:rPr>
        <w:t>GZ380地块综合整治项目、GZ482地块及西侧地块综合整治项目草坪养护</w:t>
      </w:r>
      <w:r>
        <w:rPr>
          <w:rFonts w:hint="eastAsia" w:ascii="宋体" w:hAnsi="宋体" w:eastAsia="宋体" w:cs="宋体"/>
          <w:b/>
          <w:color w:val="000000"/>
          <w:spacing w:val="28"/>
          <w:sz w:val="52"/>
          <w:szCs w:val="48"/>
          <w:highlight w:val="none"/>
          <w:lang w:val="en-US" w:eastAsia="zh-CN"/>
        </w:rPr>
        <w:t>劳务分包招标文件</w:t>
      </w:r>
    </w:p>
    <w:p w14:paraId="0736C511">
      <w:pPr>
        <w:adjustRightInd w:val="0"/>
        <w:snapToGrid w:val="0"/>
        <w:spacing w:line="360" w:lineRule="auto"/>
        <w:ind w:firstLine="602" w:firstLineChars="200"/>
        <w:jc w:val="center"/>
        <w:rPr>
          <w:rFonts w:hint="eastAsia" w:ascii="宋体" w:hAnsi="宋体" w:eastAsia="宋体" w:cs="宋体"/>
          <w:b/>
          <w:bCs/>
          <w:snapToGrid w:val="0"/>
          <w:color w:val="000000"/>
          <w:sz w:val="30"/>
          <w:highlight w:val="none"/>
        </w:rPr>
      </w:pPr>
    </w:p>
    <w:p w14:paraId="49C3BF14">
      <w:pPr>
        <w:adjustRightInd w:val="0"/>
        <w:snapToGrid w:val="0"/>
        <w:spacing w:line="360" w:lineRule="auto"/>
        <w:jc w:val="both"/>
        <w:rPr>
          <w:rFonts w:hint="eastAsia" w:ascii="宋体" w:hAnsi="宋体" w:eastAsia="宋体" w:cs="宋体"/>
          <w:b/>
          <w:snapToGrid w:val="0"/>
          <w:color w:val="000000"/>
          <w:sz w:val="72"/>
          <w:highlight w:val="none"/>
        </w:rPr>
      </w:pPr>
    </w:p>
    <w:p w14:paraId="473E6E1A">
      <w:pPr>
        <w:adjustRightInd w:val="0"/>
        <w:snapToGrid w:val="0"/>
        <w:spacing w:line="360" w:lineRule="auto"/>
        <w:ind w:firstLine="1446" w:firstLineChars="200"/>
        <w:jc w:val="center"/>
        <w:rPr>
          <w:rFonts w:hint="eastAsia" w:ascii="宋体" w:hAnsi="宋体" w:eastAsia="宋体" w:cs="宋体"/>
          <w:b/>
          <w:snapToGrid w:val="0"/>
          <w:color w:val="000000"/>
          <w:sz w:val="72"/>
          <w:highlight w:val="none"/>
        </w:rPr>
      </w:pPr>
    </w:p>
    <w:p w14:paraId="5656CAD8">
      <w:pPr>
        <w:adjustRightInd w:val="0"/>
        <w:snapToGrid w:val="0"/>
        <w:spacing w:line="360" w:lineRule="auto"/>
        <w:jc w:val="both"/>
        <w:rPr>
          <w:rFonts w:hint="eastAsia" w:ascii="宋体" w:hAnsi="宋体" w:eastAsia="宋体" w:cs="宋体"/>
          <w:b/>
          <w:snapToGrid w:val="0"/>
          <w:color w:val="000000"/>
          <w:sz w:val="72"/>
          <w:highlight w:val="none"/>
        </w:rPr>
      </w:pPr>
    </w:p>
    <w:p w14:paraId="42EF5F6B">
      <w:pPr>
        <w:adjustRightInd w:val="0"/>
        <w:snapToGrid w:val="0"/>
        <w:spacing w:line="360" w:lineRule="auto"/>
        <w:ind w:firstLine="1446" w:firstLineChars="200"/>
        <w:jc w:val="center"/>
        <w:rPr>
          <w:rFonts w:hint="eastAsia" w:ascii="宋体" w:hAnsi="宋体" w:eastAsia="宋体" w:cs="宋体"/>
          <w:b/>
          <w:snapToGrid w:val="0"/>
          <w:color w:val="000000"/>
          <w:sz w:val="72"/>
          <w:highlight w:val="none"/>
        </w:rPr>
      </w:pPr>
    </w:p>
    <w:p w14:paraId="7012262C">
      <w:pPr>
        <w:adjustRightInd w:val="0"/>
        <w:snapToGrid w:val="0"/>
        <w:spacing w:line="480" w:lineRule="auto"/>
        <w:ind w:firstLine="1054" w:firstLineChars="350"/>
        <w:rPr>
          <w:rFonts w:hint="eastAsia" w:ascii="宋体" w:hAnsi="宋体" w:eastAsia="宋体" w:cs="宋体"/>
          <w:b/>
          <w:bCs/>
          <w:snapToGrid w:val="0"/>
          <w:color w:val="000000"/>
          <w:sz w:val="28"/>
          <w:highlight w:val="none"/>
        </w:rPr>
      </w:pPr>
      <w:r>
        <w:rPr>
          <w:rFonts w:hint="eastAsia" w:ascii="宋体" w:hAnsi="宋体" w:eastAsia="宋体" w:cs="宋体"/>
          <w:b/>
          <w:bCs/>
          <w:snapToGrid w:val="0"/>
          <w:color w:val="000000"/>
          <w:sz w:val="30"/>
          <w:highlight w:val="none"/>
        </w:rPr>
        <w:t>招    标   人 ：扬州市上善建设工程有限公司</w:t>
      </w:r>
    </w:p>
    <w:p w14:paraId="3F4CDCA0">
      <w:pPr>
        <w:adjustRightInd w:val="0"/>
        <w:snapToGrid w:val="0"/>
        <w:spacing w:line="480" w:lineRule="auto"/>
        <w:ind w:firstLine="1042" w:firstLineChars="346"/>
        <w:rPr>
          <w:rFonts w:hint="default" w:ascii="宋体" w:hAnsi="宋体" w:eastAsia="宋体" w:cs="宋体"/>
          <w:b/>
          <w:bCs/>
          <w:snapToGrid w:val="0"/>
          <w:color w:val="000000"/>
          <w:sz w:val="30"/>
          <w:highlight w:val="none"/>
          <w:lang w:val="en-US"/>
        </w:rPr>
      </w:pPr>
      <w:r>
        <w:rPr>
          <w:rFonts w:hint="eastAsia" w:ascii="宋体" w:hAnsi="宋体" w:eastAsia="宋体" w:cs="宋体"/>
          <w:b/>
          <w:bCs/>
          <w:snapToGrid w:val="0"/>
          <w:color w:val="000000"/>
          <w:sz w:val="30"/>
          <w:highlight w:val="none"/>
        </w:rPr>
        <w:t>发  放  日  期：</w:t>
      </w:r>
      <w:r>
        <w:rPr>
          <w:rFonts w:hint="eastAsia" w:ascii="宋体" w:hAnsi="宋体" w:eastAsia="宋体" w:cs="宋体"/>
          <w:b/>
          <w:bCs/>
          <w:snapToGrid w:val="0"/>
          <w:color w:val="000000"/>
          <w:sz w:val="30"/>
          <w:highlight w:val="none"/>
          <w:u w:val="single"/>
        </w:rPr>
        <w:t xml:space="preserve"> </w:t>
      </w:r>
      <w:r>
        <w:rPr>
          <w:rFonts w:hint="eastAsia" w:ascii="宋体" w:hAnsi="宋体" w:eastAsia="宋体" w:cs="宋体"/>
          <w:b/>
          <w:bCs/>
          <w:snapToGrid w:val="0"/>
          <w:color w:val="000000"/>
          <w:sz w:val="30"/>
          <w:highlight w:val="none"/>
          <w:u w:val="single"/>
          <w:lang w:val="en-US" w:eastAsia="zh-CN"/>
        </w:rPr>
        <w:t xml:space="preserve">2026年5月27日 </w:t>
      </w:r>
    </w:p>
    <w:p w14:paraId="3DF0EE41">
      <w:pPr>
        <w:adjustRightInd w:val="0"/>
        <w:snapToGrid w:val="0"/>
        <w:spacing w:line="360" w:lineRule="auto"/>
        <w:rPr>
          <w:rFonts w:hint="eastAsia" w:ascii="宋体" w:hAnsi="宋体" w:eastAsia="宋体" w:cs="宋体"/>
          <w:b/>
          <w:snapToGrid w:val="0"/>
          <w:color w:val="000000"/>
          <w:sz w:val="44"/>
          <w:highlight w:val="none"/>
        </w:rPr>
        <w:sectPr>
          <w:headerReference r:id="rId3" w:type="default"/>
          <w:pgSz w:w="11906" w:h="16838"/>
          <w:pgMar w:top="1440" w:right="1800" w:bottom="1440" w:left="1800" w:header="851" w:footer="992" w:gutter="0"/>
          <w:cols w:space="720" w:num="1"/>
          <w:rtlGutter w:val="0"/>
          <w:docGrid w:type="lines" w:linePitch="312" w:charSpace="0"/>
        </w:sectPr>
      </w:pPr>
    </w:p>
    <w:p w14:paraId="4474C0B7">
      <w:pPr>
        <w:adjustRightInd w:val="0"/>
        <w:snapToGrid w:val="0"/>
        <w:spacing w:line="360" w:lineRule="auto"/>
        <w:jc w:val="center"/>
        <w:rPr>
          <w:rFonts w:hint="eastAsia" w:ascii="宋体" w:hAnsi="宋体" w:eastAsia="宋体" w:cs="宋体"/>
          <w:b/>
          <w:snapToGrid w:val="0"/>
          <w:color w:val="000000"/>
          <w:sz w:val="44"/>
          <w:highlight w:val="none"/>
        </w:rPr>
      </w:pPr>
      <w:r>
        <w:rPr>
          <w:rFonts w:hint="eastAsia" w:ascii="宋体" w:hAnsi="宋体" w:eastAsia="宋体" w:cs="宋体"/>
          <w:b/>
          <w:snapToGrid w:val="0"/>
          <w:color w:val="000000"/>
          <w:sz w:val="44"/>
          <w:highlight w:val="none"/>
        </w:rPr>
        <w:t>目         录</w:t>
      </w:r>
    </w:p>
    <w:p w14:paraId="5B9CAB60">
      <w:pPr>
        <w:numPr>
          <w:ilvl w:val="0"/>
          <w:numId w:val="2"/>
        </w:numPr>
        <w:adjustRightInd w:val="0"/>
        <w:snapToGrid w:val="0"/>
        <w:spacing w:line="480" w:lineRule="auto"/>
        <w:rPr>
          <w:rFonts w:hint="eastAsia" w:ascii="宋体" w:hAnsi="宋体" w:eastAsia="宋体" w:cs="宋体"/>
          <w:bCs/>
          <w:snapToGrid w:val="0"/>
          <w:color w:val="000000"/>
          <w:sz w:val="32"/>
          <w:highlight w:val="none"/>
        </w:rPr>
      </w:pPr>
      <w:r>
        <w:rPr>
          <w:rFonts w:hint="eastAsia" w:ascii="宋体" w:hAnsi="宋体" w:eastAsia="宋体" w:cs="宋体"/>
          <w:bCs/>
          <w:snapToGrid w:val="0"/>
          <w:color w:val="000000"/>
          <w:sz w:val="32"/>
          <w:highlight w:val="none"/>
        </w:rPr>
        <w:t>投标须知</w:t>
      </w:r>
    </w:p>
    <w:p w14:paraId="1B2A77BD">
      <w:pPr>
        <w:adjustRightInd w:val="0"/>
        <w:snapToGrid w:val="0"/>
        <w:spacing w:line="480" w:lineRule="auto"/>
        <w:ind w:left="640" w:firstLine="1068" w:firstLineChars="334"/>
        <w:rPr>
          <w:rFonts w:hint="eastAsia" w:ascii="宋体" w:hAnsi="宋体" w:eastAsia="宋体" w:cs="宋体"/>
          <w:bCs/>
          <w:snapToGrid w:val="0"/>
          <w:color w:val="000000"/>
          <w:sz w:val="32"/>
          <w:highlight w:val="none"/>
        </w:rPr>
      </w:pPr>
      <w:r>
        <w:rPr>
          <w:rFonts w:hint="eastAsia" w:ascii="宋体" w:hAnsi="宋体" w:eastAsia="宋体" w:cs="宋体"/>
          <w:bCs/>
          <w:snapToGrid w:val="0"/>
          <w:color w:val="000000"/>
          <w:sz w:val="32"/>
          <w:highlight w:val="none"/>
        </w:rPr>
        <w:t>投标人须知前附表</w:t>
      </w:r>
    </w:p>
    <w:p w14:paraId="6DA60CD7">
      <w:pPr>
        <w:numPr>
          <w:ilvl w:val="0"/>
          <w:numId w:val="3"/>
        </w:numPr>
        <w:adjustRightInd w:val="0"/>
        <w:snapToGrid w:val="0"/>
        <w:spacing w:line="480" w:lineRule="auto"/>
        <w:ind w:left="0" w:firstLine="640"/>
        <w:rPr>
          <w:rFonts w:hint="eastAsia" w:ascii="宋体" w:hAnsi="宋体" w:eastAsia="宋体" w:cs="宋体"/>
          <w:bCs/>
          <w:snapToGrid w:val="0"/>
          <w:color w:val="000000"/>
          <w:sz w:val="32"/>
          <w:highlight w:val="none"/>
        </w:rPr>
      </w:pPr>
      <w:r>
        <w:rPr>
          <w:rFonts w:hint="eastAsia" w:ascii="宋体" w:hAnsi="宋体" w:eastAsia="宋体" w:cs="宋体"/>
          <w:bCs/>
          <w:snapToGrid w:val="0"/>
          <w:color w:val="000000"/>
          <w:sz w:val="32"/>
          <w:highlight w:val="none"/>
        </w:rPr>
        <w:t>总则</w:t>
      </w:r>
    </w:p>
    <w:p w14:paraId="75E20CAD">
      <w:pPr>
        <w:numPr>
          <w:ilvl w:val="0"/>
          <w:numId w:val="3"/>
        </w:numPr>
        <w:adjustRightInd w:val="0"/>
        <w:snapToGrid w:val="0"/>
        <w:spacing w:line="480" w:lineRule="auto"/>
        <w:ind w:left="0" w:firstLine="640"/>
        <w:rPr>
          <w:rFonts w:hint="eastAsia" w:ascii="宋体" w:hAnsi="宋体" w:eastAsia="宋体" w:cs="宋体"/>
          <w:bCs/>
          <w:snapToGrid w:val="0"/>
          <w:color w:val="000000"/>
          <w:sz w:val="32"/>
          <w:highlight w:val="none"/>
        </w:rPr>
      </w:pPr>
      <w:r>
        <w:rPr>
          <w:rFonts w:hint="eastAsia" w:ascii="宋体" w:hAnsi="宋体" w:eastAsia="宋体" w:cs="宋体"/>
          <w:bCs/>
          <w:snapToGrid w:val="0"/>
          <w:color w:val="000000"/>
          <w:sz w:val="32"/>
          <w:highlight w:val="none"/>
        </w:rPr>
        <w:t>招标文件</w:t>
      </w:r>
    </w:p>
    <w:p w14:paraId="66B29489">
      <w:pPr>
        <w:numPr>
          <w:ilvl w:val="0"/>
          <w:numId w:val="3"/>
        </w:numPr>
        <w:adjustRightInd w:val="0"/>
        <w:snapToGrid w:val="0"/>
        <w:spacing w:line="480" w:lineRule="auto"/>
        <w:ind w:left="0" w:firstLine="640"/>
        <w:rPr>
          <w:rFonts w:hint="eastAsia" w:ascii="宋体" w:hAnsi="宋体" w:eastAsia="宋体" w:cs="宋体"/>
          <w:bCs/>
          <w:snapToGrid w:val="0"/>
          <w:color w:val="000000"/>
          <w:sz w:val="32"/>
          <w:highlight w:val="none"/>
        </w:rPr>
      </w:pPr>
      <w:r>
        <w:rPr>
          <w:rFonts w:hint="eastAsia" w:ascii="宋体" w:hAnsi="宋体" w:eastAsia="宋体" w:cs="宋体"/>
          <w:bCs/>
          <w:snapToGrid w:val="0"/>
          <w:color w:val="000000"/>
          <w:sz w:val="32"/>
          <w:highlight w:val="none"/>
        </w:rPr>
        <w:t>投标文件</w:t>
      </w:r>
    </w:p>
    <w:p w14:paraId="4AE11466">
      <w:pPr>
        <w:numPr>
          <w:ilvl w:val="0"/>
          <w:numId w:val="3"/>
        </w:numPr>
        <w:adjustRightInd w:val="0"/>
        <w:snapToGrid w:val="0"/>
        <w:spacing w:line="480" w:lineRule="auto"/>
        <w:ind w:left="0" w:firstLine="640"/>
        <w:rPr>
          <w:rFonts w:hint="eastAsia" w:ascii="宋体" w:hAnsi="宋体" w:eastAsia="宋体" w:cs="宋体"/>
          <w:bCs/>
          <w:snapToGrid w:val="0"/>
          <w:color w:val="000000"/>
          <w:sz w:val="32"/>
          <w:highlight w:val="none"/>
        </w:rPr>
      </w:pPr>
      <w:r>
        <w:rPr>
          <w:rFonts w:hint="eastAsia" w:ascii="宋体" w:hAnsi="宋体" w:eastAsia="宋体" w:cs="宋体"/>
          <w:bCs/>
          <w:snapToGrid w:val="0"/>
          <w:color w:val="000000"/>
          <w:sz w:val="32"/>
          <w:highlight w:val="none"/>
        </w:rPr>
        <w:t>投标报价</w:t>
      </w:r>
    </w:p>
    <w:p w14:paraId="1986E085">
      <w:pPr>
        <w:numPr>
          <w:ilvl w:val="0"/>
          <w:numId w:val="3"/>
        </w:numPr>
        <w:adjustRightInd w:val="0"/>
        <w:snapToGrid w:val="0"/>
        <w:spacing w:line="480" w:lineRule="auto"/>
        <w:ind w:left="0" w:firstLine="640"/>
        <w:rPr>
          <w:rFonts w:hint="eastAsia" w:ascii="宋体" w:hAnsi="宋体" w:eastAsia="宋体" w:cs="宋体"/>
          <w:bCs/>
          <w:snapToGrid w:val="0"/>
          <w:color w:val="000000"/>
          <w:sz w:val="32"/>
          <w:highlight w:val="none"/>
        </w:rPr>
      </w:pPr>
      <w:r>
        <w:rPr>
          <w:rFonts w:hint="eastAsia" w:ascii="宋体" w:hAnsi="宋体" w:eastAsia="宋体" w:cs="宋体"/>
          <w:bCs/>
          <w:snapToGrid w:val="0"/>
          <w:color w:val="000000"/>
          <w:sz w:val="32"/>
          <w:highlight w:val="none"/>
        </w:rPr>
        <w:t>投标文件密封和递交</w:t>
      </w:r>
    </w:p>
    <w:p w14:paraId="5E84F9D4">
      <w:pPr>
        <w:numPr>
          <w:ilvl w:val="0"/>
          <w:numId w:val="3"/>
        </w:numPr>
        <w:adjustRightInd w:val="0"/>
        <w:snapToGrid w:val="0"/>
        <w:spacing w:line="480" w:lineRule="auto"/>
        <w:ind w:left="0" w:firstLine="640"/>
        <w:rPr>
          <w:rFonts w:hint="eastAsia" w:ascii="宋体" w:hAnsi="宋体" w:eastAsia="宋体" w:cs="宋体"/>
          <w:bCs/>
          <w:snapToGrid w:val="0"/>
          <w:color w:val="000000"/>
          <w:sz w:val="32"/>
          <w:highlight w:val="none"/>
        </w:rPr>
      </w:pPr>
      <w:r>
        <w:rPr>
          <w:rFonts w:hint="eastAsia" w:ascii="宋体" w:hAnsi="宋体" w:eastAsia="宋体" w:cs="宋体"/>
          <w:bCs/>
          <w:snapToGrid w:val="0"/>
          <w:color w:val="000000"/>
          <w:sz w:val="32"/>
          <w:highlight w:val="none"/>
        </w:rPr>
        <w:t>开标</w:t>
      </w:r>
    </w:p>
    <w:p w14:paraId="43D54580">
      <w:pPr>
        <w:numPr>
          <w:ilvl w:val="0"/>
          <w:numId w:val="3"/>
        </w:numPr>
        <w:adjustRightInd w:val="0"/>
        <w:snapToGrid w:val="0"/>
        <w:spacing w:line="480" w:lineRule="auto"/>
        <w:ind w:left="0" w:firstLine="640"/>
        <w:rPr>
          <w:rFonts w:hint="eastAsia" w:ascii="宋体" w:hAnsi="宋体" w:eastAsia="宋体" w:cs="宋体"/>
          <w:bCs/>
          <w:snapToGrid w:val="0"/>
          <w:color w:val="000000"/>
          <w:sz w:val="32"/>
          <w:highlight w:val="none"/>
        </w:rPr>
      </w:pPr>
      <w:r>
        <w:rPr>
          <w:rFonts w:hint="eastAsia" w:ascii="宋体" w:hAnsi="宋体" w:eastAsia="宋体" w:cs="宋体"/>
          <w:bCs/>
          <w:snapToGrid w:val="0"/>
          <w:color w:val="000000"/>
          <w:sz w:val="32"/>
          <w:highlight w:val="none"/>
        </w:rPr>
        <w:t>评标与定标</w:t>
      </w:r>
    </w:p>
    <w:p w14:paraId="33F35242">
      <w:pPr>
        <w:numPr>
          <w:ilvl w:val="0"/>
          <w:numId w:val="3"/>
        </w:numPr>
        <w:adjustRightInd w:val="0"/>
        <w:snapToGrid w:val="0"/>
        <w:spacing w:line="480" w:lineRule="auto"/>
        <w:ind w:left="0" w:firstLine="640"/>
        <w:rPr>
          <w:rFonts w:hint="eastAsia" w:ascii="宋体" w:hAnsi="宋体" w:eastAsia="宋体" w:cs="宋体"/>
          <w:bCs/>
          <w:snapToGrid w:val="0"/>
          <w:color w:val="000000"/>
          <w:sz w:val="32"/>
          <w:highlight w:val="none"/>
        </w:rPr>
      </w:pPr>
      <w:r>
        <w:rPr>
          <w:rFonts w:hint="eastAsia" w:ascii="宋体" w:hAnsi="宋体" w:eastAsia="宋体" w:cs="宋体"/>
          <w:bCs/>
          <w:snapToGrid w:val="0"/>
          <w:color w:val="000000"/>
          <w:sz w:val="32"/>
          <w:highlight w:val="none"/>
        </w:rPr>
        <w:t>授予合同</w:t>
      </w:r>
    </w:p>
    <w:p w14:paraId="5570BFCE">
      <w:pPr>
        <w:adjustRightInd w:val="0"/>
        <w:snapToGrid w:val="0"/>
        <w:spacing w:line="480" w:lineRule="auto"/>
        <w:ind w:firstLine="640"/>
        <w:rPr>
          <w:rFonts w:hint="eastAsia" w:ascii="宋体" w:hAnsi="宋体" w:eastAsia="宋体" w:cs="宋体"/>
          <w:bCs/>
          <w:snapToGrid w:val="0"/>
          <w:color w:val="000000"/>
          <w:sz w:val="32"/>
          <w:highlight w:val="none"/>
        </w:rPr>
      </w:pPr>
    </w:p>
    <w:p w14:paraId="2CB9FCC5">
      <w:pPr>
        <w:adjustRightInd w:val="0"/>
        <w:snapToGrid w:val="0"/>
        <w:spacing w:line="480" w:lineRule="auto"/>
        <w:ind w:firstLine="640"/>
        <w:rPr>
          <w:rFonts w:hint="eastAsia" w:ascii="宋体" w:hAnsi="宋体" w:eastAsia="宋体" w:cs="宋体"/>
          <w:bCs/>
          <w:snapToGrid w:val="0"/>
          <w:color w:val="000000"/>
          <w:sz w:val="32"/>
          <w:highlight w:val="none"/>
        </w:rPr>
      </w:pPr>
    </w:p>
    <w:p w14:paraId="3A93E924">
      <w:pPr>
        <w:pStyle w:val="16"/>
        <w:jc w:val="both"/>
        <w:rPr>
          <w:rFonts w:hint="eastAsia" w:ascii="宋体" w:hAnsi="宋体" w:eastAsia="宋体" w:cs="宋体"/>
          <w:snapToGrid w:val="0"/>
          <w:color w:val="000000"/>
          <w:highlight w:val="none"/>
        </w:rPr>
      </w:pPr>
    </w:p>
    <w:p w14:paraId="00CDD4EF">
      <w:pPr>
        <w:pStyle w:val="16"/>
        <w:jc w:val="both"/>
        <w:rPr>
          <w:rFonts w:hint="eastAsia" w:ascii="宋体" w:hAnsi="宋体" w:eastAsia="宋体" w:cs="宋体"/>
          <w:snapToGrid w:val="0"/>
          <w:color w:val="000000"/>
          <w:highlight w:val="none"/>
        </w:rPr>
      </w:pPr>
    </w:p>
    <w:p w14:paraId="2F8E12F8">
      <w:pPr>
        <w:pStyle w:val="16"/>
        <w:jc w:val="both"/>
        <w:rPr>
          <w:rFonts w:hint="eastAsia" w:ascii="宋体" w:hAnsi="宋体" w:eastAsia="宋体" w:cs="宋体"/>
          <w:snapToGrid w:val="0"/>
          <w:color w:val="000000"/>
          <w:highlight w:val="none"/>
        </w:rPr>
      </w:pPr>
    </w:p>
    <w:p w14:paraId="2886DC06">
      <w:pPr>
        <w:pStyle w:val="16"/>
        <w:jc w:val="center"/>
        <w:rPr>
          <w:rFonts w:hint="eastAsia" w:ascii="宋体" w:hAnsi="宋体" w:eastAsia="宋体" w:cs="宋体"/>
          <w:snapToGrid w:val="0"/>
          <w:color w:val="000000"/>
          <w:highlight w:val="none"/>
        </w:rPr>
      </w:pPr>
      <w:r>
        <w:rPr>
          <w:rFonts w:hint="eastAsia" w:ascii="宋体" w:hAnsi="宋体" w:eastAsia="宋体" w:cs="宋体"/>
          <w:snapToGrid w:val="0"/>
          <w:color w:val="000000"/>
          <w:highlight w:val="none"/>
        </w:rPr>
        <w:t>第一章 投标须知</w:t>
      </w:r>
    </w:p>
    <w:p w14:paraId="06E2C72A">
      <w:pPr>
        <w:pStyle w:val="4"/>
        <w:rPr>
          <w:rFonts w:hint="eastAsia" w:ascii="宋体" w:hAnsi="宋体" w:eastAsia="宋体" w:cs="宋体"/>
          <w:color w:val="000000"/>
          <w:highlight w:val="none"/>
        </w:rPr>
      </w:pPr>
      <w:r>
        <w:rPr>
          <w:rFonts w:hint="eastAsia" w:ascii="宋体" w:hAnsi="宋体" w:eastAsia="宋体" w:cs="宋体"/>
          <w:color w:val="000000"/>
          <w:highlight w:val="none"/>
        </w:rPr>
        <w:t>投标人须知前附表</w:t>
      </w:r>
    </w:p>
    <w:tbl>
      <w:tblPr>
        <w:tblStyle w:val="18"/>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948"/>
        <w:gridCol w:w="681"/>
        <w:gridCol w:w="2433"/>
        <w:gridCol w:w="920"/>
        <w:gridCol w:w="697"/>
        <w:gridCol w:w="3821"/>
      </w:tblGrid>
      <w:tr w14:paraId="0B344F2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1948" w:type="dxa"/>
            <w:tcBorders>
              <w:top w:val="single" w:color="auto" w:sz="8" w:space="0"/>
              <w:left w:val="single" w:color="auto" w:sz="8" w:space="0"/>
              <w:bottom w:val="single" w:color="auto" w:sz="4" w:space="0"/>
              <w:right w:val="single" w:color="auto" w:sz="4" w:space="0"/>
            </w:tcBorders>
            <w:noWrap w:val="0"/>
            <w:vAlign w:val="center"/>
          </w:tcPr>
          <w:p w14:paraId="01E446F7">
            <w:pPr>
              <w:snapToGrid w:val="0"/>
              <w:spacing w:line="460" w:lineRule="exact"/>
              <w:jc w:val="left"/>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招标人</w:t>
            </w:r>
          </w:p>
        </w:tc>
        <w:tc>
          <w:tcPr>
            <w:tcW w:w="8552" w:type="dxa"/>
            <w:gridSpan w:val="5"/>
            <w:tcBorders>
              <w:top w:val="single" w:color="auto" w:sz="8" w:space="0"/>
              <w:left w:val="single" w:color="auto" w:sz="4" w:space="0"/>
              <w:bottom w:val="single" w:color="auto" w:sz="4" w:space="0"/>
              <w:right w:val="single" w:color="auto" w:sz="8" w:space="0"/>
            </w:tcBorders>
            <w:noWrap w:val="0"/>
            <w:vAlign w:val="center"/>
          </w:tcPr>
          <w:p w14:paraId="535A4597">
            <w:pPr>
              <w:snapToGrid w:val="0"/>
              <w:spacing w:line="460" w:lineRule="exact"/>
              <w:jc w:val="left"/>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扬州市上善建设工程有限公司</w:t>
            </w:r>
          </w:p>
        </w:tc>
      </w:tr>
      <w:tr w14:paraId="2F5163D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29" w:hRule="atLeast"/>
          <w:jc w:val="center"/>
        </w:trPr>
        <w:tc>
          <w:tcPr>
            <w:tcW w:w="1948" w:type="dxa"/>
            <w:tcBorders>
              <w:top w:val="single" w:color="auto" w:sz="4" w:space="0"/>
              <w:left w:val="single" w:color="auto" w:sz="8" w:space="0"/>
              <w:bottom w:val="single" w:color="auto" w:sz="4" w:space="0"/>
              <w:right w:val="single" w:color="auto" w:sz="4" w:space="0"/>
            </w:tcBorders>
            <w:noWrap w:val="0"/>
            <w:vAlign w:val="center"/>
          </w:tcPr>
          <w:p w14:paraId="193AAC6D">
            <w:pPr>
              <w:snapToGrid w:val="0"/>
              <w:spacing w:line="460" w:lineRule="exact"/>
              <w:jc w:val="left"/>
              <w:rPr>
                <w:rFonts w:hint="eastAsia" w:ascii="宋体" w:hAnsi="宋体" w:eastAsia="宋体" w:cs="宋体"/>
                <w:snapToGrid w:val="0"/>
                <w:color w:val="000000"/>
                <w:sz w:val="28"/>
                <w:szCs w:val="28"/>
                <w:highlight w:val="none"/>
              </w:rPr>
            </w:pPr>
            <w:r>
              <w:rPr>
                <w:rFonts w:hint="eastAsia" w:ascii="宋体" w:hAnsi="宋体" w:eastAsia="宋体" w:cs="宋体"/>
                <w:snapToGrid w:val="0"/>
                <w:color w:val="000000"/>
                <w:sz w:val="28"/>
                <w:szCs w:val="28"/>
                <w:highlight w:val="none"/>
              </w:rPr>
              <w:t>工程名称</w:t>
            </w:r>
          </w:p>
        </w:tc>
        <w:tc>
          <w:tcPr>
            <w:tcW w:w="8552" w:type="dxa"/>
            <w:gridSpan w:val="5"/>
            <w:tcBorders>
              <w:top w:val="single" w:color="auto" w:sz="4" w:space="0"/>
              <w:left w:val="single" w:color="auto" w:sz="4" w:space="0"/>
              <w:bottom w:val="single" w:color="auto" w:sz="4" w:space="0"/>
              <w:right w:val="single" w:color="auto" w:sz="8" w:space="0"/>
            </w:tcBorders>
            <w:noWrap w:val="0"/>
            <w:vAlign w:val="center"/>
          </w:tcPr>
          <w:p w14:paraId="50534E86">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b/>
                <w:color w:val="000000"/>
                <w:spacing w:val="28"/>
                <w:sz w:val="28"/>
                <w:szCs w:val="28"/>
                <w:highlight w:val="none"/>
              </w:rPr>
            </w:pPr>
            <w:r>
              <w:rPr>
                <w:rFonts w:hint="eastAsia" w:ascii="宋体" w:hAnsi="宋体" w:cs="宋体"/>
                <w:snapToGrid w:val="0"/>
                <w:color w:val="000000"/>
                <w:sz w:val="28"/>
                <w:szCs w:val="28"/>
                <w:highlight w:val="none"/>
                <w:lang w:val="en-US" w:eastAsia="zh-CN"/>
              </w:rPr>
              <w:t>GZ380地块综合整治项目、GZ482地块及西侧地块综合整治项目草坪养护</w:t>
            </w:r>
            <w:r>
              <w:rPr>
                <w:rFonts w:hint="eastAsia" w:ascii="宋体" w:hAnsi="宋体" w:eastAsia="宋体" w:cs="宋体"/>
                <w:snapToGrid w:val="0"/>
                <w:color w:val="000000"/>
                <w:sz w:val="28"/>
                <w:szCs w:val="28"/>
                <w:highlight w:val="none"/>
                <w:lang w:val="en-US" w:eastAsia="zh-CN"/>
              </w:rPr>
              <w:t>劳务分包</w:t>
            </w:r>
          </w:p>
        </w:tc>
      </w:tr>
      <w:tr w14:paraId="7240372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1948" w:type="dxa"/>
            <w:tcBorders>
              <w:top w:val="single" w:color="auto" w:sz="4" w:space="0"/>
              <w:left w:val="single" w:color="auto" w:sz="8" w:space="0"/>
              <w:bottom w:val="single" w:color="auto" w:sz="4" w:space="0"/>
              <w:right w:val="single" w:color="auto" w:sz="4" w:space="0"/>
            </w:tcBorders>
            <w:noWrap w:val="0"/>
            <w:vAlign w:val="center"/>
          </w:tcPr>
          <w:p w14:paraId="0583FE20">
            <w:pPr>
              <w:snapToGrid w:val="0"/>
              <w:spacing w:line="460" w:lineRule="exact"/>
              <w:jc w:val="left"/>
              <w:rPr>
                <w:rFonts w:hint="eastAsia" w:ascii="宋体" w:hAnsi="宋体" w:eastAsia="宋体" w:cs="宋体"/>
                <w:snapToGrid w:val="0"/>
                <w:color w:val="000000"/>
                <w:sz w:val="28"/>
                <w:szCs w:val="28"/>
                <w:highlight w:val="none"/>
              </w:rPr>
            </w:pPr>
            <w:r>
              <w:rPr>
                <w:rFonts w:hint="eastAsia" w:ascii="宋体" w:hAnsi="宋体" w:eastAsia="宋体" w:cs="宋体"/>
                <w:snapToGrid w:val="0"/>
                <w:color w:val="000000"/>
                <w:sz w:val="28"/>
                <w:szCs w:val="28"/>
                <w:highlight w:val="none"/>
              </w:rPr>
              <w:t>建设地点</w:t>
            </w:r>
          </w:p>
        </w:tc>
        <w:tc>
          <w:tcPr>
            <w:tcW w:w="8552" w:type="dxa"/>
            <w:gridSpan w:val="5"/>
            <w:tcBorders>
              <w:top w:val="single" w:color="auto" w:sz="4" w:space="0"/>
              <w:left w:val="single" w:color="auto" w:sz="4" w:space="0"/>
              <w:bottom w:val="single" w:color="auto" w:sz="4" w:space="0"/>
              <w:right w:val="single" w:color="auto" w:sz="8" w:space="0"/>
            </w:tcBorders>
            <w:noWrap w:val="0"/>
            <w:vAlign w:val="center"/>
          </w:tcPr>
          <w:p w14:paraId="5A63E257">
            <w:pPr>
              <w:snapToGrid w:val="0"/>
              <w:spacing w:line="460" w:lineRule="exact"/>
              <w:jc w:val="left"/>
              <w:rPr>
                <w:rFonts w:hint="eastAsia" w:ascii="宋体" w:hAnsi="宋体" w:eastAsia="宋体" w:cs="宋体"/>
                <w:snapToGrid w:val="0"/>
                <w:color w:val="000000"/>
                <w:sz w:val="28"/>
                <w:szCs w:val="28"/>
                <w:highlight w:val="none"/>
                <w:lang w:val="en-US" w:eastAsia="zh-CN"/>
              </w:rPr>
            </w:pPr>
            <w:r>
              <w:rPr>
                <w:rFonts w:hint="eastAsia" w:ascii="宋体" w:hAnsi="宋体" w:eastAsia="宋体" w:cs="宋体"/>
                <w:snapToGrid w:val="0"/>
                <w:color w:val="000000"/>
                <w:sz w:val="28"/>
                <w:szCs w:val="28"/>
                <w:highlight w:val="none"/>
                <w:lang w:val="en-US" w:eastAsia="zh-CN"/>
              </w:rPr>
              <w:t>扬州市</w:t>
            </w:r>
          </w:p>
        </w:tc>
      </w:tr>
      <w:tr w14:paraId="14DF9BF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36" w:hRule="atLeast"/>
          <w:jc w:val="center"/>
        </w:trPr>
        <w:tc>
          <w:tcPr>
            <w:tcW w:w="1948" w:type="dxa"/>
            <w:tcBorders>
              <w:top w:val="single" w:color="auto" w:sz="4" w:space="0"/>
              <w:left w:val="single" w:color="auto" w:sz="8" w:space="0"/>
              <w:bottom w:val="single" w:color="auto" w:sz="4" w:space="0"/>
              <w:right w:val="single" w:color="auto" w:sz="4" w:space="0"/>
            </w:tcBorders>
            <w:noWrap w:val="0"/>
            <w:vAlign w:val="center"/>
          </w:tcPr>
          <w:p w14:paraId="6FA2AE11">
            <w:pPr>
              <w:numPr>
                <w:ilvl w:val="0"/>
                <w:numId w:val="0"/>
              </w:numPr>
              <w:snapToGrid w:val="0"/>
              <w:spacing w:line="460" w:lineRule="exact"/>
              <w:jc w:val="left"/>
              <w:rPr>
                <w:rFonts w:hint="eastAsia" w:ascii="宋体" w:hAnsi="宋体" w:eastAsia="宋体" w:cs="宋体"/>
                <w:snapToGrid w:val="0"/>
                <w:color w:val="000000"/>
                <w:sz w:val="28"/>
                <w:szCs w:val="28"/>
                <w:highlight w:val="none"/>
                <w:lang w:val="en-US" w:eastAsia="zh-CN"/>
              </w:rPr>
            </w:pPr>
            <w:r>
              <w:rPr>
                <w:rFonts w:hint="eastAsia" w:ascii="宋体" w:hAnsi="宋体" w:eastAsia="宋体" w:cs="宋体"/>
                <w:snapToGrid w:val="0"/>
                <w:color w:val="000000"/>
                <w:sz w:val="28"/>
                <w:szCs w:val="28"/>
                <w:highlight w:val="none"/>
                <w:lang w:val="en-US" w:eastAsia="zh-CN"/>
              </w:rPr>
              <w:t>招标方式</w:t>
            </w:r>
          </w:p>
        </w:tc>
        <w:tc>
          <w:tcPr>
            <w:tcW w:w="8552" w:type="dxa"/>
            <w:gridSpan w:val="5"/>
            <w:tcBorders>
              <w:top w:val="single" w:color="auto" w:sz="4" w:space="0"/>
              <w:left w:val="single" w:color="auto" w:sz="8" w:space="0"/>
              <w:bottom w:val="single" w:color="auto" w:sz="4" w:space="0"/>
              <w:right w:val="single" w:color="auto" w:sz="8" w:space="0"/>
            </w:tcBorders>
            <w:noWrap w:val="0"/>
            <w:vAlign w:val="center"/>
          </w:tcPr>
          <w:p w14:paraId="4818AA32">
            <w:pPr>
              <w:spacing w:line="460" w:lineRule="exact"/>
              <w:jc w:val="left"/>
              <w:rPr>
                <w:rFonts w:hint="eastAsia" w:ascii="宋体" w:hAnsi="宋体" w:eastAsia="宋体" w:cs="宋体"/>
                <w:snapToGrid w:val="0"/>
                <w:color w:val="000000"/>
                <w:sz w:val="28"/>
                <w:szCs w:val="28"/>
                <w:highlight w:val="none"/>
                <w:lang w:val="en-US" w:eastAsia="zh-CN"/>
              </w:rPr>
            </w:pPr>
            <w:r>
              <w:rPr>
                <w:rFonts w:hint="eastAsia" w:ascii="宋体" w:hAnsi="宋体" w:eastAsia="宋体" w:cs="宋体"/>
                <w:snapToGrid w:val="0"/>
                <w:color w:val="000000"/>
                <w:sz w:val="28"/>
                <w:szCs w:val="28"/>
                <w:highlight w:val="none"/>
                <w:lang w:val="en-US" w:eastAsia="zh-CN"/>
              </w:rPr>
              <w:t>1、</w:t>
            </w:r>
            <w:r>
              <w:rPr>
                <w:rFonts w:hint="eastAsia" w:ascii="宋体" w:hAnsi="宋体" w:cs="宋体"/>
                <w:snapToGrid w:val="0"/>
                <w:color w:val="000000"/>
                <w:sz w:val="28"/>
                <w:szCs w:val="28"/>
                <w:highlight w:val="none"/>
                <w:lang w:val="en-US" w:eastAsia="zh-CN"/>
              </w:rPr>
              <w:t>□</w:t>
            </w:r>
            <w:r>
              <w:rPr>
                <w:rFonts w:hint="eastAsia" w:ascii="宋体" w:hAnsi="宋体" w:eastAsia="宋体" w:cs="宋体"/>
                <w:snapToGrid w:val="0"/>
                <w:color w:val="000000"/>
                <w:sz w:val="28"/>
                <w:szCs w:val="28"/>
                <w:highlight w:val="none"/>
                <w:lang w:val="en-US" w:eastAsia="zh-CN"/>
              </w:rPr>
              <w:t xml:space="preserve">库内公开招标 </w:t>
            </w:r>
            <w:r>
              <w:rPr>
                <w:rFonts w:hint="eastAsia" w:ascii="宋体" w:hAnsi="宋体" w:cs="宋体"/>
                <w:snapToGrid w:val="0"/>
                <w:color w:val="000000"/>
                <w:sz w:val="28"/>
                <w:szCs w:val="28"/>
                <w:highlight w:val="none"/>
                <w:lang w:val="en-US" w:eastAsia="zh-CN"/>
              </w:rPr>
              <w:t>☑</w:t>
            </w:r>
            <w:r>
              <w:rPr>
                <w:rFonts w:hint="eastAsia" w:ascii="宋体" w:hAnsi="宋体" w:eastAsia="宋体" w:cs="宋体"/>
                <w:snapToGrid w:val="0"/>
                <w:color w:val="000000"/>
                <w:sz w:val="28"/>
                <w:szCs w:val="28"/>
                <w:highlight w:val="none"/>
                <w:lang w:val="en-US" w:eastAsia="zh-CN"/>
              </w:rPr>
              <w:t>库外公开招标 □邀请招标 □竞争性磋商</w:t>
            </w:r>
          </w:p>
          <w:p w14:paraId="416AD2CE">
            <w:pPr>
              <w:numPr>
                <w:ilvl w:val="0"/>
                <w:numId w:val="0"/>
              </w:numPr>
              <w:snapToGrid w:val="0"/>
              <w:spacing w:line="460" w:lineRule="exact"/>
              <w:ind w:left="560" w:hanging="560" w:hangingChars="200"/>
              <w:rPr>
                <w:rFonts w:hint="default" w:ascii="宋体" w:hAnsi="宋体" w:eastAsia="宋体" w:cs="宋体"/>
                <w:snapToGrid w:val="0"/>
                <w:color w:val="000000"/>
                <w:sz w:val="28"/>
                <w:szCs w:val="28"/>
                <w:highlight w:val="none"/>
                <w:lang w:val="en-US" w:eastAsia="zh-CN"/>
              </w:rPr>
            </w:pPr>
            <w:r>
              <w:rPr>
                <w:rFonts w:hint="eastAsia" w:ascii="宋体" w:hAnsi="宋体" w:eastAsia="宋体" w:cs="宋体"/>
                <w:snapToGrid w:val="0"/>
                <w:color w:val="000000"/>
                <w:sz w:val="28"/>
                <w:szCs w:val="28"/>
                <w:highlight w:val="none"/>
                <w:lang w:val="en-US" w:eastAsia="zh-CN"/>
              </w:rPr>
              <w:t>2、□市政劳务库   □装修装饰库</w:t>
            </w:r>
          </w:p>
        </w:tc>
      </w:tr>
      <w:tr w14:paraId="754B845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1948" w:type="dxa"/>
            <w:tcBorders>
              <w:top w:val="single" w:color="auto" w:sz="4" w:space="0"/>
              <w:left w:val="single" w:color="auto" w:sz="8" w:space="0"/>
              <w:bottom w:val="single" w:color="auto" w:sz="4" w:space="0"/>
              <w:right w:val="single" w:color="auto" w:sz="4" w:space="0"/>
            </w:tcBorders>
            <w:noWrap w:val="0"/>
            <w:vAlign w:val="center"/>
          </w:tcPr>
          <w:p w14:paraId="618030C9">
            <w:pPr>
              <w:spacing w:line="460" w:lineRule="exact"/>
              <w:ind w:left="960" w:hanging="960" w:hangingChars="343"/>
              <w:jc w:val="left"/>
              <w:rPr>
                <w:rFonts w:hint="eastAsia" w:ascii="宋体" w:hAnsi="宋体" w:eastAsia="宋体" w:cs="宋体"/>
                <w:snapToGrid w:val="0"/>
                <w:color w:val="000000"/>
                <w:sz w:val="28"/>
                <w:szCs w:val="28"/>
                <w:highlight w:val="none"/>
              </w:rPr>
            </w:pPr>
            <w:r>
              <w:rPr>
                <w:rFonts w:hint="eastAsia" w:ascii="宋体" w:hAnsi="宋体" w:eastAsia="宋体" w:cs="宋体"/>
                <w:snapToGrid w:val="0"/>
                <w:color w:val="000000"/>
                <w:sz w:val="28"/>
                <w:szCs w:val="28"/>
                <w:highlight w:val="none"/>
              </w:rPr>
              <w:t>投标报价方式</w:t>
            </w:r>
          </w:p>
        </w:tc>
        <w:tc>
          <w:tcPr>
            <w:tcW w:w="8552" w:type="dxa"/>
            <w:gridSpan w:val="5"/>
            <w:tcBorders>
              <w:top w:val="single" w:color="auto" w:sz="4" w:space="0"/>
              <w:left w:val="single" w:color="auto" w:sz="4" w:space="0"/>
              <w:bottom w:val="single" w:color="auto" w:sz="4" w:space="0"/>
              <w:right w:val="single" w:color="auto" w:sz="8" w:space="0"/>
            </w:tcBorders>
            <w:noWrap w:val="0"/>
            <w:vAlign w:val="center"/>
          </w:tcPr>
          <w:p w14:paraId="54450BA7">
            <w:pPr>
              <w:spacing w:line="460" w:lineRule="exact"/>
              <w:jc w:val="left"/>
              <w:rPr>
                <w:rFonts w:hint="default" w:ascii="宋体" w:hAnsi="宋体" w:eastAsia="宋体" w:cs="宋体"/>
                <w:snapToGrid w:val="0"/>
                <w:color w:val="000000"/>
                <w:sz w:val="28"/>
                <w:szCs w:val="28"/>
                <w:highlight w:val="none"/>
                <w:lang w:val="en-US"/>
              </w:rPr>
            </w:pPr>
            <w:r>
              <w:rPr>
                <w:rFonts w:hint="eastAsia" w:ascii="宋体" w:hAnsi="宋体" w:cs="宋体"/>
                <w:b/>
                <w:bCs/>
                <w:snapToGrid w:val="0"/>
                <w:color w:val="000000"/>
                <w:sz w:val="28"/>
                <w:szCs w:val="28"/>
                <w:highlight w:val="none"/>
                <w:u w:val="single"/>
                <w:lang w:val="en-US" w:eastAsia="zh-CN"/>
              </w:rPr>
              <w:t>固定单价</w:t>
            </w:r>
          </w:p>
        </w:tc>
      </w:tr>
      <w:tr w14:paraId="7145606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1948" w:type="dxa"/>
            <w:tcBorders>
              <w:top w:val="single" w:color="auto" w:sz="4" w:space="0"/>
              <w:left w:val="single" w:color="auto" w:sz="8" w:space="0"/>
              <w:bottom w:val="single" w:color="auto" w:sz="4" w:space="0"/>
              <w:right w:val="single" w:color="auto" w:sz="4" w:space="0"/>
            </w:tcBorders>
            <w:noWrap w:val="0"/>
            <w:vAlign w:val="center"/>
          </w:tcPr>
          <w:p w14:paraId="22330C8E">
            <w:pPr>
              <w:spacing w:line="460" w:lineRule="exact"/>
              <w:ind w:left="960" w:hanging="960" w:hangingChars="343"/>
              <w:jc w:val="left"/>
              <w:rPr>
                <w:rFonts w:hint="default" w:ascii="宋体" w:hAnsi="宋体" w:eastAsia="宋体" w:cs="宋体"/>
                <w:snapToGrid w:val="0"/>
                <w:color w:val="000000"/>
                <w:sz w:val="28"/>
                <w:szCs w:val="28"/>
                <w:highlight w:val="none"/>
                <w:lang w:val="en-US" w:eastAsia="zh-CN"/>
              </w:rPr>
            </w:pPr>
            <w:r>
              <w:rPr>
                <w:rFonts w:hint="eastAsia" w:ascii="宋体" w:hAnsi="宋体" w:eastAsia="宋体" w:cs="宋体"/>
                <w:snapToGrid w:val="0"/>
                <w:color w:val="000000"/>
                <w:sz w:val="28"/>
                <w:szCs w:val="28"/>
                <w:highlight w:val="none"/>
                <w:lang w:val="en-US" w:eastAsia="zh-CN"/>
              </w:rPr>
              <w:t>最高限价</w:t>
            </w:r>
          </w:p>
        </w:tc>
        <w:tc>
          <w:tcPr>
            <w:tcW w:w="8552" w:type="dxa"/>
            <w:gridSpan w:val="5"/>
            <w:tcBorders>
              <w:top w:val="single" w:color="auto" w:sz="4" w:space="0"/>
              <w:left w:val="single" w:color="auto" w:sz="4" w:space="0"/>
              <w:bottom w:val="single" w:color="auto" w:sz="4" w:space="0"/>
              <w:right w:val="single" w:color="auto" w:sz="8" w:space="0"/>
            </w:tcBorders>
            <w:noWrap w:val="0"/>
            <w:vAlign w:val="center"/>
          </w:tcPr>
          <w:p w14:paraId="42AEC869">
            <w:pPr>
              <w:spacing w:line="460" w:lineRule="exact"/>
              <w:jc w:val="left"/>
              <w:rPr>
                <w:rFonts w:hint="eastAsia" w:ascii="宋体" w:hAnsi="宋体" w:eastAsia="宋体" w:cs="宋体"/>
                <w:snapToGrid w:val="0"/>
                <w:color w:val="000000"/>
                <w:sz w:val="28"/>
                <w:szCs w:val="28"/>
                <w:highlight w:val="none"/>
                <w:lang w:val="en-US" w:eastAsia="zh-CN"/>
              </w:rPr>
            </w:pPr>
            <w:r>
              <w:rPr>
                <w:rFonts w:hint="eastAsia" w:ascii="宋体" w:hAnsi="宋体" w:eastAsia="宋体" w:cs="宋体"/>
                <w:snapToGrid w:val="0"/>
                <w:color w:val="000000"/>
                <w:sz w:val="28"/>
                <w:szCs w:val="28"/>
                <w:highlight w:val="none"/>
                <w:u w:val="single"/>
                <w:lang w:val="en-US" w:eastAsia="zh-CN"/>
              </w:rPr>
              <w:t>339480.35</w:t>
            </w:r>
            <w:r>
              <w:rPr>
                <w:rFonts w:hint="eastAsia" w:ascii="宋体" w:hAnsi="宋体" w:eastAsia="宋体" w:cs="宋体"/>
                <w:snapToGrid w:val="0"/>
                <w:color w:val="000000"/>
                <w:sz w:val="28"/>
                <w:szCs w:val="28"/>
                <w:highlight w:val="none"/>
                <w:lang w:val="en-US" w:eastAsia="zh-CN"/>
              </w:rPr>
              <w:t>元（不含税）</w:t>
            </w:r>
          </w:p>
        </w:tc>
      </w:tr>
      <w:tr w14:paraId="64D32E8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93" w:hRule="atLeast"/>
          <w:jc w:val="center"/>
        </w:trPr>
        <w:tc>
          <w:tcPr>
            <w:tcW w:w="1948" w:type="dxa"/>
            <w:tcBorders>
              <w:top w:val="single" w:color="auto" w:sz="4" w:space="0"/>
              <w:left w:val="single" w:color="auto" w:sz="8" w:space="0"/>
              <w:bottom w:val="single" w:color="auto" w:sz="4" w:space="0"/>
              <w:right w:val="single" w:color="auto" w:sz="4" w:space="0"/>
            </w:tcBorders>
            <w:noWrap w:val="0"/>
            <w:vAlign w:val="center"/>
          </w:tcPr>
          <w:p w14:paraId="34AE2AB3">
            <w:pPr>
              <w:snapToGrid w:val="0"/>
              <w:spacing w:line="460" w:lineRule="exact"/>
              <w:jc w:val="left"/>
              <w:rPr>
                <w:rFonts w:hint="eastAsia" w:ascii="宋体" w:hAnsi="宋体" w:eastAsia="宋体" w:cs="宋体"/>
                <w:snapToGrid w:val="0"/>
                <w:color w:val="000000"/>
                <w:sz w:val="28"/>
                <w:szCs w:val="28"/>
                <w:highlight w:val="none"/>
              </w:rPr>
            </w:pPr>
            <w:r>
              <w:rPr>
                <w:rFonts w:hint="eastAsia" w:ascii="宋体" w:hAnsi="宋体" w:eastAsia="宋体" w:cs="宋体"/>
                <w:snapToGrid w:val="0"/>
                <w:color w:val="000000"/>
                <w:sz w:val="28"/>
                <w:szCs w:val="28"/>
                <w:highlight w:val="none"/>
              </w:rPr>
              <w:t>计划工期</w:t>
            </w:r>
          </w:p>
        </w:tc>
        <w:tc>
          <w:tcPr>
            <w:tcW w:w="8552" w:type="dxa"/>
            <w:gridSpan w:val="5"/>
            <w:tcBorders>
              <w:top w:val="single" w:color="auto" w:sz="4" w:space="0"/>
              <w:left w:val="single" w:color="auto" w:sz="4" w:space="0"/>
              <w:bottom w:val="single" w:color="auto" w:sz="4" w:space="0"/>
              <w:right w:val="single" w:color="auto" w:sz="8" w:space="0"/>
            </w:tcBorders>
            <w:noWrap w:val="0"/>
            <w:vAlign w:val="center"/>
          </w:tcPr>
          <w:p w14:paraId="00516ED6">
            <w:pPr>
              <w:snapToGrid w:val="0"/>
              <w:spacing w:line="460" w:lineRule="exact"/>
              <w:jc w:val="left"/>
              <w:rPr>
                <w:rFonts w:hint="eastAsia" w:ascii="宋体" w:hAnsi="宋体" w:eastAsia="宋体" w:cs="宋体"/>
                <w:snapToGrid w:val="0"/>
                <w:color w:val="000000"/>
                <w:sz w:val="28"/>
                <w:szCs w:val="28"/>
                <w:highlight w:val="none"/>
                <w:lang w:eastAsia="zh-CN"/>
              </w:rPr>
            </w:pPr>
            <w:r>
              <w:rPr>
                <w:rFonts w:hint="eastAsia" w:ascii="宋体" w:hAnsi="宋体" w:eastAsia="宋体" w:cs="宋体"/>
                <w:color w:val="000000"/>
                <w:sz w:val="28"/>
                <w:szCs w:val="28"/>
                <w:highlight w:val="none"/>
              </w:rPr>
              <w:t>具体开工日期以建设单位通知为准。工期进度须服从建设单位总进度计划安排，如需顺延工期，必须经建设单位书面同意</w:t>
            </w:r>
            <w:r>
              <w:rPr>
                <w:rFonts w:hint="eastAsia" w:ascii="宋体" w:hAnsi="宋体" w:eastAsia="宋体" w:cs="宋体"/>
                <w:color w:val="000000"/>
                <w:sz w:val="28"/>
                <w:szCs w:val="28"/>
                <w:highlight w:val="none"/>
                <w:lang w:eastAsia="zh-CN"/>
              </w:rPr>
              <w:t>。</w:t>
            </w:r>
          </w:p>
        </w:tc>
      </w:tr>
      <w:tr w14:paraId="4CE464C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1948" w:type="dxa"/>
            <w:tcBorders>
              <w:top w:val="single" w:color="auto" w:sz="4" w:space="0"/>
              <w:left w:val="single" w:color="auto" w:sz="8" w:space="0"/>
              <w:bottom w:val="single" w:color="auto" w:sz="4" w:space="0"/>
              <w:right w:val="single" w:color="auto" w:sz="4" w:space="0"/>
            </w:tcBorders>
            <w:noWrap w:val="0"/>
            <w:vAlign w:val="center"/>
          </w:tcPr>
          <w:p w14:paraId="747477F8">
            <w:pPr>
              <w:snapToGrid w:val="0"/>
              <w:spacing w:line="460" w:lineRule="exact"/>
              <w:jc w:val="left"/>
              <w:rPr>
                <w:rFonts w:hint="eastAsia" w:ascii="宋体" w:hAnsi="宋体" w:eastAsia="宋体" w:cs="宋体"/>
                <w:snapToGrid w:val="0"/>
                <w:color w:val="000000"/>
                <w:sz w:val="28"/>
                <w:szCs w:val="28"/>
                <w:highlight w:val="none"/>
              </w:rPr>
            </w:pPr>
            <w:r>
              <w:rPr>
                <w:rFonts w:hint="eastAsia" w:ascii="宋体" w:hAnsi="宋体" w:eastAsia="宋体" w:cs="宋体"/>
                <w:snapToGrid w:val="0"/>
                <w:color w:val="000000"/>
                <w:sz w:val="28"/>
                <w:szCs w:val="28"/>
                <w:highlight w:val="none"/>
              </w:rPr>
              <w:t>质量要求</w:t>
            </w:r>
          </w:p>
        </w:tc>
        <w:tc>
          <w:tcPr>
            <w:tcW w:w="3114" w:type="dxa"/>
            <w:gridSpan w:val="2"/>
            <w:tcBorders>
              <w:top w:val="single" w:color="auto" w:sz="4" w:space="0"/>
              <w:left w:val="single" w:color="auto" w:sz="4" w:space="0"/>
              <w:bottom w:val="single" w:color="auto" w:sz="4" w:space="0"/>
              <w:right w:val="single" w:color="auto" w:sz="4" w:space="0"/>
            </w:tcBorders>
            <w:noWrap w:val="0"/>
            <w:vAlign w:val="center"/>
          </w:tcPr>
          <w:p w14:paraId="6F5CE985">
            <w:pPr>
              <w:snapToGrid w:val="0"/>
              <w:spacing w:line="460" w:lineRule="exact"/>
              <w:jc w:val="center"/>
              <w:rPr>
                <w:rFonts w:hint="eastAsia" w:ascii="宋体" w:hAnsi="宋体" w:eastAsia="宋体" w:cs="宋体"/>
                <w:snapToGrid w:val="0"/>
                <w:color w:val="000000"/>
                <w:sz w:val="28"/>
                <w:szCs w:val="28"/>
                <w:highlight w:val="none"/>
              </w:rPr>
            </w:pPr>
            <w:r>
              <w:rPr>
                <w:rFonts w:hint="eastAsia" w:ascii="宋体" w:hAnsi="宋体"/>
                <w:snapToGrid w:val="0"/>
                <w:color w:val="000000"/>
                <w:sz w:val="28"/>
                <w:szCs w:val="28"/>
                <w:highlight w:val="none"/>
              </w:rPr>
              <w:t>合格</w:t>
            </w:r>
          </w:p>
        </w:tc>
        <w:tc>
          <w:tcPr>
            <w:tcW w:w="1617" w:type="dxa"/>
            <w:gridSpan w:val="2"/>
            <w:tcBorders>
              <w:top w:val="single" w:color="auto" w:sz="4" w:space="0"/>
              <w:left w:val="single" w:color="auto" w:sz="4" w:space="0"/>
              <w:bottom w:val="single" w:color="auto" w:sz="4" w:space="0"/>
              <w:right w:val="single" w:color="auto" w:sz="4" w:space="0"/>
            </w:tcBorders>
            <w:noWrap w:val="0"/>
            <w:vAlign w:val="center"/>
          </w:tcPr>
          <w:p w14:paraId="28FB7ED0">
            <w:pPr>
              <w:snapToGrid w:val="0"/>
              <w:spacing w:line="460" w:lineRule="exact"/>
              <w:jc w:val="left"/>
              <w:rPr>
                <w:rFonts w:hint="eastAsia" w:ascii="宋体" w:hAnsi="宋体" w:eastAsia="宋体" w:cs="宋体"/>
                <w:b/>
                <w:color w:val="000000"/>
                <w:sz w:val="28"/>
                <w:szCs w:val="28"/>
                <w:highlight w:val="none"/>
                <w:lang w:eastAsia="zh-CN"/>
              </w:rPr>
            </w:pPr>
            <w:r>
              <w:rPr>
                <w:rFonts w:hint="eastAsia" w:ascii="宋体" w:hAnsi="宋体" w:eastAsia="宋体" w:cs="宋体"/>
                <w:snapToGrid w:val="0"/>
                <w:color w:val="000000"/>
                <w:sz w:val="28"/>
                <w:szCs w:val="28"/>
                <w:highlight w:val="none"/>
              </w:rPr>
              <w:t>承包</w:t>
            </w:r>
            <w:r>
              <w:rPr>
                <w:rFonts w:hint="eastAsia" w:ascii="宋体" w:hAnsi="宋体" w:eastAsia="宋体" w:cs="宋体"/>
                <w:snapToGrid w:val="0"/>
                <w:color w:val="000000"/>
                <w:sz w:val="28"/>
                <w:szCs w:val="28"/>
                <w:highlight w:val="none"/>
                <w:lang w:val="en-US" w:eastAsia="zh-CN"/>
              </w:rPr>
              <w:t>范围</w:t>
            </w:r>
          </w:p>
        </w:tc>
        <w:tc>
          <w:tcPr>
            <w:tcW w:w="3821" w:type="dxa"/>
            <w:tcBorders>
              <w:top w:val="single" w:color="auto" w:sz="4" w:space="0"/>
              <w:left w:val="single" w:color="auto" w:sz="4" w:space="0"/>
              <w:bottom w:val="single" w:color="auto" w:sz="4" w:space="0"/>
              <w:right w:val="single" w:color="auto" w:sz="8" w:space="0"/>
            </w:tcBorders>
            <w:noWrap w:val="0"/>
            <w:vAlign w:val="center"/>
          </w:tcPr>
          <w:p w14:paraId="3F06634F">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right="0"/>
              <w:jc w:val="center"/>
              <w:rPr>
                <w:rFonts w:hint="eastAsia" w:ascii="宋体" w:hAnsi="宋体" w:eastAsia="宋体" w:cs="宋体"/>
                <w:b/>
                <w:color w:val="000000"/>
                <w:sz w:val="28"/>
                <w:szCs w:val="28"/>
                <w:highlight w:val="none"/>
                <w:lang w:eastAsia="zh-CN"/>
              </w:rPr>
            </w:pPr>
            <w:r>
              <w:rPr>
                <w:rFonts w:hint="eastAsia" w:ascii="宋体" w:hAnsi="宋体" w:eastAsia="宋体" w:cs="宋体"/>
                <w:color w:val="000000"/>
                <w:kern w:val="2"/>
                <w:sz w:val="28"/>
                <w:szCs w:val="28"/>
                <w:highlight w:val="none"/>
                <w:lang w:val="en-US" w:eastAsia="zh-CN" w:bidi="ar-SA"/>
              </w:rPr>
              <w:t>劳务分包</w:t>
            </w:r>
          </w:p>
        </w:tc>
      </w:tr>
      <w:tr w14:paraId="5F97A1E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1948" w:type="dxa"/>
            <w:tcBorders>
              <w:top w:val="single" w:color="auto" w:sz="4" w:space="0"/>
              <w:left w:val="single" w:color="auto" w:sz="8" w:space="0"/>
              <w:bottom w:val="single" w:color="auto" w:sz="4" w:space="0"/>
              <w:right w:val="single" w:color="auto" w:sz="4" w:space="0"/>
            </w:tcBorders>
            <w:noWrap w:val="0"/>
            <w:vAlign w:val="center"/>
          </w:tcPr>
          <w:p w14:paraId="7C4B2A8C">
            <w:pPr>
              <w:snapToGrid w:val="0"/>
              <w:spacing w:line="460" w:lineRule="exact"/>
              <w:jc w:val="left"/>
              <w:rPr>
                <w:rFonts w:hint="eastAsia" w:ascii="宋体" w:hAnsi="宋体" w:eastAsia="宋体" w:cs="宋体"/>
                <w:snapToGrid w:val="0"/>
                <w:color w:val="000000"/>
                <w:sz w:val="28"/>
                <w:szCs w:val="28"/>
                <w:highlight w:val="none"/>
              </w:rPr>
            </w:pPr>
            <w:r>
              <w:rPr>
                <w:rFonts w:hint="eastAsia" w:ascii="宋体" w:hAnsi="宋体" w:eastAsia="宋体" w:cs="宋体"/>
                <w:snapToGrid w:val="0"/>
                <w:color w:val="000000"/>
                <w:sz w:val="28"/>
                <w:szCs w:val="28"/>
                <w:highlight w:val="none"/>
              </w:rPr>
              <w:t>投标文件份数</w:t>
            </w:r>
          </w:p>
        </w:tc>
        <w:tc>
          <w:tcPr>
            <w:tcW w:w="8552" w:type="dxa"/>
            <w:gridSpan w:val="5"/>
            <w:tcBorders>
              <w:top w:val="single" w:color="auto" w:sz="4" w:space="0"/>
              <w:left w:val="single" w:color="auto" w:sz="4" w:space="0"/>
              <w:bottom w:val="single" w:color="auto" w:sz="4" w:space="0"/>
              <w:right w:val="single" w:color="auto" w:sz="8" w:space="0"/>
            </w:tcBorders>
            <w:noWrap w:val="0"/>
            <w:vAlign w:val="center"/>
          </w:tcPr>
          <w:p w14:paraId="5CCB5FF8">
            <w:pPr>
              <w:snapToGrid w:val="0"/>
              <w:spacing w:line="460" w:lineRule="exact"/>
              <w:jc w:val="left"/>
              <w:rPr>
                <w:rFonts w:hint="eastAsia" w:ascii="宋体" w:hAnsi="宋体" w:eastAsia="宋体" w:cs="宋体"/>
                <w:snapToGrid w:val="0"/>
                <w:color w:val="000000"/>
                <w:sz w:val="28"/>
                <w:szCs w:val="28"/>
                <w:highlight w:val="none"/>
                <w:lang w:eastAsia="zh-CN"/>
              </w:rPr>
            </w:pPr>
            <w:r>
              <w:rPr>
                <w:rFonts w:hint="eastAsia" w:ascii="宋体" w:hAnsi="宋体" w:eastAsia="宋体" w:cs="宋体"/>
                <w:snapToGrid w:val="0"/>
                <w:color w:val="000000"/>
                <w:sz w:val="28"/>
                <w:szCs w:val="28"/>
                <w:highlight w:val="none"/>
              </w:rPr>
              <w:t>投标文件要求正本</w:t>
            </w:r>
            <w:r>
              <w:rPr>
                <w:rFonts w:hint="eastAsia" w:ascii="宋体" w:hAnsi="宋体" w:eastAsia="宋体" w:cs="宋体"/>
                <w:snapToGrid w:val="0"/>
                <w:color w:val="000000"/>
                <w:sz w:val="28"/>
                <w:szCs w:val="28"/>
                <w:highlight w:val="none"/>
                <w:u w:val="single"/>
                <w:lang w:val="en-US" w:eastAsia="zh-CN"/>
              </w:rPr>
              <w:t xml:space="preserve"> </w:t>
            </w:r>
            <w:r>
              <w:rPr>
                <w:rFonts w:hint="eastAsia" w:ascii="宋体" w:hAnsi="宋体" w:eastAsia="宋体" w:cs="宋体"/>
                <w:snapToGrid w:val="0"/>
                <w:color w:val="000000"/>
                <w:sz w:val="28"/>
                <w:szCs w:val="28"/>
                <w:highlight w:val="none"/>
                <w:u w:val="single"/>
              </w:rPr>
              <w:t>壹</w:t>
            </w:r>
            <w:r>
              <w:rPr>
                <w:rFonts w:hint="eastAsia" w:ascii="宋体" w:hAnsi="宋体" w:eastAsia="宋体" w:cs="宋体"/>
                <w:snapToGrid w:val="0"/>
                <w:color w:val="000000"/>
                <w:sz w:val="28"/>
                <w:szCs w:val="28"/>
                <w:highlight w:val="none"/>
                <w:u w:val="single"/>
                <w:lang w:val="en-US" w:eastAsia="zh-CN"/>
              </w:rPr>
              <w:t xml:space="preserve"> </w:t>
            </w:r>
            <w:r>
              <w:rPr>
                <w:rFonts w:hint="eastAsia" w:ascii="宋体" w:hAnsi="宋体" w:eastAsia="宋体" w:cs="宋体"/>
                <w:snapToGrid w:val="0"/>
                <w:color w:val="000000"/>
                <w:sz w:val="28"/>
                <w:szCs w:val="28"/>
                <w:highlight w:val="none"/>
              </w:rPr>
              <w:t>份</w:t>
            </w:r>
            <w:r>
              <w:rPr>
                <w:rFonts w:hint="eastAsia" w:ascii="宋体" w:hAnsi="宋体" w:eastAsia="宋体" w:cs="宋体"/>
                <w:snapToGrid w:val="0"/>
                <w:color w:val="000000"/>
                <w:sz w:val="28"/>
                <w:szCs w:val="28"/>
                <w:highlight w:val="none"/>
                <w:lang w:eastAsia="zh-CN"/>
              </w:rPr>
              <w:t>，</w:t>
            </w:r>
            <w:r>
              <w:rPr>
                <w:rFonts w:hint="eastAsia" w:ascii="宋体" w:hAnsi="宋体" w:eastAsia="宋体" w:cs="宋体"/>
                <w:snapToGrid w:val="0"/>
                <w:color w:val="000000"/>
                <w:sz w:val="28"/>
                <w:szCs w:val="28"/>
                <w:highlight w:val="none"/>
                <w:lang w:val="en-US" w:eastAsia="zh-CN"/>
              </w:rPr>
              <w:t>副</w:t>
            </w:r>
            <w:r>
              <w:rPr>
                <w:rFonts w:hint="eastAsia" w:ascii="宋体" w:hAnsi="宋体" w:eastAsia="宋体" w:cs="宋体"/>
                <w:snapToGrid w:val="0"/>
                <w:color w:val="000000"/>
                <w:sz w:val="28"/>
                <w:szCs w:val="28"/>
                <w:highlight w:val="none"/>
              </w:rPr>
              <w:t>本</w:t>
            </w:r>
            <w:r>
              <w:rPr>
                <w:rFonts w:hint="eastAsia" w:ascii="宋体" w:hAnsi="宋体" w:eastAsia="宋体" w:cs="宋体"/>
                <w:snapToGrid w:val="0"/>
                <w:color w:val="000000"/>
                <w:sz w:val="28"/>
                <w:szCs w:val="28"/>
                <w:highlight w:val="none"/>
                <w:u w:val="single"/>
                <w:lang w:val="en-US" w:eastAsia="zh-CN"/>
              </w:rPr>
              <w:t xml:space="preserve"> </w:t>
            </w:r>
            <w:r>
              <w:rPr>
                <w:rFonts w:hint="eastAsia" w:ascii="宋体" w:hAnsi="宋体" w:eastAsia="宋体" w:cs="宋体"/>
                <w:snapToGrid w:val="0"/>
                <w:color w:val="000000"/>
                <w:sz w:val="28"/>
                <w:szCs w:val="28"/>
                <w:highlight w:val="none"/>
                <w:u w:val="single"/>
              </w:rPr>
              <w:t>壹</w:t>
            </w:r>
            <w:r>
              <w:rPr>
                <w:rFonts w:hint="eastAsia" w:ascii="宋体" w:hAnsi="宋体" w:eastAsia="宋体" w:cs="宋体"/>
                <w:snapToGrid w:val="0"/>
                <w:color w:val="000000"/>
                <w:sz w:val="28"/>
                <w:szCs w:val="28"/>
                <w:highlight w:val="none"/>
                <w:u w:val="single"/>
                <w:lang w:val="en-US" w:eastAsia="zh-CN"/>
              </w:rPr>
              <w:t xml:space="preserve"> </w:t>
            </w:r>
            <w:r>
              <w:rPr>
                <w:rFonts w:hint="eastAsia" w:ascii="宋体" w:hAnsi="宋体" w:eastAsia="宋体" w:cs="宋体"/>
                <w:snapToGrid w:val="0"/>
                <w:color w:val="000000"/>
                <w:sz w:val="28"/>
                <w:szCs w:val="28"/>
                <w:highlight w:val="none"/>
              </w:rPr>
              <w:t>份</w:t>
            </w:r>
          </w:p>
        </w:tc>
      </w:tr>
      <w:tr w14:paraId="3F8E1CC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1948" w:type="dxa"/>
            <w:tcBorders>
              <w:top w:val="single" w:color="auto" w:sz="4" w:space="0"/>
              <w:left w:val="single" w:color="auto" w:sz="8" w:space="0"/>
              <w:bottom w:val="single" w:color="auto" w:sz="4" w:space="0"/>
              <w:right w:val="single" w:color="auto" w:sz="4" w:space="0"/>
            </w:tcBorders>
            <w:noWrap w:val="0"/>
            <w:vAlign w:val="center"/>
          </w:tcPr>
          <w:p w14:paraId="499A9CA8">
            <w:pPr>
              <w:snapToGrid w:val="0"/>
              <w:spacing w:line="460" w:lineRule="exact"/>
              <w:jc w:val="left"/>
              <w:rPr>
                <w:rFonts w:hint="eastAsia" w:ascii="宋体" w:hAnsi="宋体" w:eastAsia="宋体" w:cs="宋体"/>
                <w:snapToGrid w:val="0"/>
                <w:color w:val="000000"/>
                <w:sz w:val="28"/>
                <w:szCs w:val="28"/>
                <w:highlight w:val="none"/>
              </w:rPr>
            </w:pPr>
            <w:r>
              <w:rPr>
                <w:rFonts w:hint="eastAsia" w:ascii="宋体" w:hAnsi="宋体" w:eastAsia="宋体" w:cs="宋体"/>
                <w:snapToGrid w:val="0"/>
                <w:color w:val="000000"/>
                <w:sz w:val="28"/>
                <w:szCs w:val="28"/>
                <w:highlight w:val="none"/>
              </w:rPr>
              <w:t>现场查勘</w:t>
            </w:r>
          </w:p>
        </w:tc>
        <w:tc>
          <w:tcPr>
            <w:tcW w:w="8552" w:type="dxa"/>
            <w:gridSpan w:val="5"/>
            <w:tcBorders>
              <w:top w:val="single" w:color="auto" w:sz="4" w:space="0"/>
              <w:left w:val="single" w:color="auto" w:sz="4" w:space="0"/>
              <w:bottom w:val="single" w:color="auto" w:sz="4" w:space="0"/>
              <w:right w:val="single" w:color="auto" w:sz="8" w:space="0"/>
            </w:tcBorders>
            <w:noWrap w:val="0"/>
            <w:vAlign w:val="center"/>
          </w:tcPr>
          <w:p w14:paraId="14A87299">
            <w:pPr>
              <w:snapToGrid w:val="0"/>
              <w:spacing w:line="460" w:lineRule="exact"/>
              <w:jc w:val="left"/>
              <w:rPr>
                <w:rFonts w:hint="eastAsia" w:ascii="宋体" w:hAnsi="宋体" w:eastAsia="宋体" w:cs="宋体"/>
                <w:snapToGrid w:val="0"/>
                <w:color w:val="000000"/>
                <w:sz w:val="28"/>
                <w:szCs w:val="28"/>
                <w:highlight w:val="none"/>
              </w:rPr>
            </w:pPr>
            <w:r>
              <w:rPr>
                <w:rFonts w:hint="eastAsia" w:ascii="宋体" w:hAnsi="宋体" w:eastAsia="宋体" w:cs="宋体"/>
                <w:color w:val="000000"/>
                <w:sz w:val="28"/>
                <w:szCs w:val="32"/>
                <w:highlight w:val="none"/>
              </w:rPr>
              <w:t>投标人自行查勘现场</w:t>
            </w:r>
          </w:p>
        </w:tc>
      </w:tr>
      <w:tr w14:paraId="1DE66ED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70" w:hRule="atLeast"/>
          <w:jc w:val="center"/>
        </w:trPr>
        <w:tc>
          <w:tcPr>
            <w:tcW w:w="1948" w:type="dxa"/>
            <w:tcBorders>
              <w:top w:val="single" w:color="auto" w:sz="4" w:space="0"/>
              <w:left w:val="single" w:color="auto" w:sz="8" w:space="0"/>
              <w:bottom w:val="single" w:color="auto" w:sz="4" w:space="0"/>
              <w:right w:val="single" w:color="auto" w:sz="4" w:space="0"/>
            </w:tcBorders>
            <w:noWrap w:val="0"/>
            <w:vAlign w:val="center"/>
          </w:tcPr>
          <w:p w14:paraId="28836989">
            <w:pPr>
              <w:snapToGrid w:val="0"/>
              <w:spacing w:line="460" w:lineRule="exact"/>
              <w:jc w:val="left"/>
              <w:rPr>
                <w:rFonts w:hint="eastAsia" w:ascii="宋体" w:hAnsi="宋体" w:eastAsia="宋体" w:cs="宋体"/>
                <w:snapToGrid w:val="0"/>
                <w:color w:val="000000"/>
                <w:sz w:val="28"/>
                <w:szCs w:val="28"/>
                <w:highlight w:val="none"/>
              </w:rPr>
            </w:pPr>
            <w:r>
              <w:rPr>
                <w:rFonts w:hint="eastAsia" w:ascii="宋体" w:hAnsi="宋体" w:eastAsia="宋体" w:cs="宋体"/>
                <w:snapToGrid w:val="0"/>
                <w:color w:val="000000"/>
                <w:sz w:val="28"/>
                <w:szCs w:val="28"/>
                <w:highlight w:val="none"/>
              </w:rPr>
              <w:t>澄清及答疑</w:t>
            </w:r>
          </w:p>
        </w:tc>
        <w:tc>
          <w:tcPr>
            <w:tcW w:w="8552" w:type="dxa"/>
            <w:gridSpan w:val="5"/>
            <w:tcBorders>
              <w:top w:val="single" w:color="auto" w:sz="4" w:space="0"/>
              <w:left w:val="single" w:color="auto" w:sz="4" w:space="0"/>
              <w:bottom w:val="single" w:color="auto" w:sz="4" w:space="0"/>
              <w:right w:val="single" w:color="auto" w:sz="8" w:space="0"/>
            </w:tcBorders>
            <w:noWrap w:val="0"/>
            <w:vAlign w:val="center"/>
          </w:tcPr>
          <w:p w14:paraId="563A40A9">
            <w:pPr>
              <w:snapToGrid w:val="0"/>
              <w:spacing w:line="460" w:lineRule="exact"/>
              <w:jc w:val="left"/>
              <w:rPr>
                <w:rFonts w:hint="default" w:ascii="宋体" w:hAnsi="宋体" w:eastAsia="宋体" w:cs="宋体"/>
                <w:snapToGrid w:val="0"/>
                <w:color w:val="000000"/>
                <w:sz w:val="28"/>
                <w:szCs w:val="28"/>
                <w:highlight w:val="none"/>
                <w:lang w:val="en-US" w:eastAsia="zh-CN"/>
              </w:rPr>
            </w:pPr>
            <w:r>
              <w:rPr>
                <w:rFonts w:hint="eastAsia" w:ascii="宋体" w:hAnsi="宋体" w:eastAsia="宋体" w:cs="宋体"/>
                <w:snapToGrid w:val="0"/>
                <w:color w:val="000000"/>
                <w:sz w:val="28"/>
                <w:szCs w:val="28"/>
                <w:highlight w:val="none"/>
              </w:rPr>
              <w:t>投标人提出问题的截止时间:</w:t>
            </w:r>
            <w:r>
              <w:rPr>
                <w:rFonts w:hint="eastAsia" w:ascii="宋体" w:hAnsi="宋体" w:eastAsia="宋体" w:cs="宋体"/>
                <w:snapToGrid w:val="0"/>
                <w:color w:val="000000"/>
                <w:sz w:val="28"/>
                <w:szCs w:val="28"/>
                <w:highlight w:val="none"/>
                <w:u w:val="single"/>
                <w:lang w:val="en-US" w:eastAsia="zh-CN"/>
              </w:rPr>
              <w:t>2026年5月28日</w:t>
            </w:r>
          </w:p>
          <w:p w14:paraId="73D889D2">
            <w:pPr>
              <w:snapToGrid w:val="0"/>
              <w:spacing w:line="460" w:lineRule="exact"/>
              <w:jc w:val="left"/>
              <w:rPr>
                <w:rFonts w:hint="eastAsia" w:ascii="宋体" w:hAnsi="宋体" w:eastAsia="宋体" w:cs="宋体"/>
                <w:snapToGrid w:val="0"/>
                <w:color w:val="000000"/>
                <w:sz w:val="28"/>
                <w:szCs w:val="28"/>
                <w:highlight w:val="none"/>
              </w:rPr>
            </w:pPr>
            <w:r>
              <w:rPr>
                <w:rFonts w:hint="eastAsia" w:ascii="宋体" w:hAnsi="宋体" w:eastAsia="宋体" w:cs="宋体"/>
                <w:snapToGrid w:val="0"/>
                <w:color w:val="000000"/>
                <w:sz w:val="28"/>
                <w:szCs w:val="28"/>
                <w:highlight w:val="none"/>
              </w:rPr>
              <w:t>方式：书面、传真、电子邮件</w:t>
            </w:r>
          </w:p>
          <w:p w14:paraId="5C4F9F5A">
            <w:pPr>
              <w:snapToGrid w:val="0"/>
              <w:spacing w:line="460" w:lineRule="exact"/>
              <w:jc w:val="left"/>
              <w:rPr>
                <w:rFonts w:hint="default" w:ascii="宋体" w:hAnsi="宋体" w:eastAsia="宋体" w:cs="宋体"/>
                <w:snapToGrid w:val="0"/>
                <w:color w:val="000000"/>
                <w:sz w:val="28"/>
                <w:szCs w:val="28"/>
                <w:highlight w:val="none"/>
                <w:u w:val="single"/>
                <w:lang w:val="en-US" w:eastAsia="zh-CN"/>
              </w:rPr>
            </w:pPr>
            <w:r>
              <w:rPr>
                <w:rFonts w:hint="eastAsia" w:ascii="宋体" w:hAnsi="宋体" w:eastAsia="宋体" w:cs="宋体"/>
                <w:snapToGrid w:val="0"/>
                <w:color w:val="000000"/>
                <w:sz w:val="28"/>
                <w:szCs w:val="28"/>
                <w:highlight w:val="none"/>
              </w:rPr>
              <w:t>招标人澄清的时间</w:t>
            </w:r>
            <w:r>
              <w:rPr>
                <w:rFonts w:hint="eastAsia" w:ascii="宋体" w:hAnsi="宋体" w:cs="宋体"/>
                <w:snapToGrid w:val="0"/>
                <w:color w:val="000000"/>
                <w:sz w:val="28"/>
                <w:szCs w:val="28"/>
                <w:highlight w:val="none"/>
                <w:lang w:eastAsia="zh-CN"/>
              </w:rPr>
              <w:t>：</w:t>
            </w:r>
            <w:r>
              <w:rPr>
                <w:rFonts w:hint="eastAsia" w:ascii="宋体" w:hAnsi="宋体" w:cs="宋体"/>
                <w:snapToGrid w:val="0"/>
                <w:color w:val="000000"/>
                <w:sz w:val="28"/>
                <w:szCs w:val="28"/>
                <w:highlight w:val="none"/>
                <w:u w:val="single"/>
                <w:lang w:val="en-US" w:eastAsia="zh-CN"/>
              </w:rPr>
              <w:t>2026年5月28日</w:t>
            </w:r>
          </w:p>
        </w:tc>
      </w:tr>
      <w:tr w14:paraId="0BCC4B2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1948" w:type="dxa"/>
            <w:tcBorders>
              <w:top w:val="single" w:color="auto" w:sz="4" w:space="0"/>
              <w:left w:val="single" w:color="auto" w:sz="8" w:space="0"/>
              <w:bottom w:val="single" w:color="auto" w:sz="4" w:space="0"/>
              <w:right w:val="single" w:color="auto" w:sz="4" w:space="0"/>
            </w:tcBorders>
            <w:noWrap w:val="0"/>
            <w:vAlign w:val="center"/>
          </w:tcPr>
          <w:p w14:paraId="01572E54">
            <w:pPr>
              <w:snapToGrid w:val="0"/>
              <w:spacing w:line="460" w:lineRule="exact"/>
              <w:jc w:val="left"/>
              <w:rPr>
                <w:rFonts w:hint="eastAsia" w:ascii="宋体" w:hAnsi="宋体" w:eastAsia="宋体" w:cs="宋体"/>
                <w:snapToGrid w:val="0"/>
                <w:color w:val="000000"/>
                <w:sz w:val="28"/>
                <w:szCs w:val="28"/>
                <w:highlight w:val="none"/>
              </w:rPr>
            </w:pPr>
            <w:r>
              <w:rPr>
                <w:rFonts w:hint="eastAsia" w:ascii="宋体" w:hAnsi="宋体" w:eastAsia="宋体" w:cs="宋体"/>
                <w:snapToGrid w:val="0"/>
                <w:color w:val="000000"/>
                <w:sz w:val="28"/>
                <w:szCs w:val="28"/>
                <w:highlight w:val="none"/>
              </w:rPr>
              <w:t>投标开始时间</w:t>
            </w:r>
          </w:p>
        </w:tc>
        <w:tc>
          <w:tcPr>
            <w:tcW w:w="8552" w:type="dxa"/>
            <w:gridSpan w:val="5"/>
            <w:tcBorders>
              <w:top w:val="single" w:color="auto" w:sz="4" w:space="0"/>
              <w:left w:val="single" w:color="auto" w:sz="4" w:space="0"/>
              <w:bottom w:val="single" w:color="auto" w:sz="4" w:space="0"/>
              <w:right w:val="single" w:color="auto" w:sz="8" w:space="0"/>
            </w:tcBorders>
            <w:noWrap w:val="0"/>
            <w:vAlign w:val="center"/>
          </w:tcPr>
          <w:p w14:paraId="6FCCB11D">
            <w:pPr>
              <w:snapToGrid w:val="0"/>
              <w:spacing w:line="460" w:lineRule="exact"/>
              <w:jc w:val="left"/>
              <w:rPr>
                <w:rFonts w:hint="default" w:ascii="宋体" w:hAnsi="宋体" w:eastAsia="宋体" w:cs="宋体"/>
                <w:snapToGrid w:val="0"/>
                <w:color w:val="000000"/>
                <w:sz w:val="28"/>
                <w:szCs w:val="28"/>
                <w:highlight w:val="none"/>
                <w:lang w:val="en-US" w:eastAsia="zh-CN"/>
              </w:rPr>
            </w:pPr>
            <w:r>
              <w:rPr>
                <w:rFonts w:hint="eastAsia" w:ascii="宋体" w:hAnsi="宋体" w:eastAsia="宋体" w:cs="宋体"/>
                <w:snapToGrid w:val="0"/>
                <w:color w:val="000000"/>
                <w:sz w:val="28"/>
                <w:szCs w:val="28"/>
                <w:highlight w:val="none"/>
                <w:u w:val="single"/>
                <w:lang w:val="en-US" w:eastAsia="zh-CN"/>
              </w:rPr>
              <w:t>2026年5月27日</w:t>
            </w:r>
          </w:p>
        </w:tc>
      </w:tr>
      <w:tr w14:paraId="3BF9BB2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1948" w:type="dxa"/>
            <w:tcBorders>
              <w:top w:val="single" w:color="auto" w:sz="4" w:space="0"/>
              <w:left w:val="single" w:color="auto" w:sz="8" w:space="0"/>
              <w:bottom w:val="single" w:color="auto" w:sz="4" w:space="0"/>
              <w:right w:val="single" w:color="auto" w:sz="4" w:space="0"/>
            </w:tcBorders>
            <w:noWrap w:val="0"/>
            <w:vAlign w:val="center"/>
          </w:tcPr>
          <w:p w14:paraId="5AF12DA6">
            <w:pPr>
              <w:snapToGrid w:val="0"/>
              <w:spacing w:line="460" w:lineRule="exact"/>
              <w:jc w:val="left"/>
              <w:rPr>
                <w:rFonts w:hint="eastAsia" w:ascii="宋体" w:hAnsi="宋体" w:eastAsia="宋体" w:cs="宋体"/>
                <w:snapToGrid w:val="0"/>
                <w:color w:val="000000"/>
                <w:sz w:val="28"/>
                <w:szCs w:val="28"/>
                <w:highlight w:val="none"/>
              </w:rPr>
            </w:pPr>
            <w:r>
              <w:rPr>
                <w:rFonts w:hint="eastAsia" w:ascii="宋体" w:hAnsi="宋体" w:eastAsia="宋体" w:cs="宋体"/>
                <w:snapToGrid w:val="0"/>
                <w:color w:val="000000"/>
                <w:sz w:val="28"/>
                <w:szCs w:val="28"/>
                <w:highlight w:val="none"/>
              </w:rPr>
              <w:t>投标截止时间</w:t>
            </w:r>
          </w:p>
        </w:tc>
        <w:tc>
          <w:tcPr>
            <w:tcW w:w="8552" w:type="dxa"/>
            <w:gridSpan w:val="5"/>
            <w:tcBorders>
              <w:top w:val="single" w:color="auto" w:sz="4" w:space="0"/>
              <w:left w:val="single" w:color="auto" w:sz="4" w:space="0"/>
              <w:bottom w:val="single" w:color="auto" w:sz="4" w:space="0"/>
              <w:right w:val="single" w:color="auto" w:sz="8" w:space="0"/>
            </w:tcBorders>
            <w:noWrap w:val="0"/>
            <w:vAlign w:val="center"/>
          </w:tcPr>
          <w:p w14:paraId="76F0FA13">
            <w:pPr>
              <w:snapToGrid w:val="0"/>
              <w:spacing w:line="460" w:lineRule="exact"/>
              <w:jc w:val="left"/>
              <w:rPr>
                <w:rFonts w:hint="eastAsia" w:ascii="宋体" w:hAnsi="宋体" w:eastAsia="宋体" w:cs="宋体"/>
                <w:snapToGrid w:val="0"/>
                <w:color w:val="000000"/>
                <w:sz w:val="28"/>
                <w:szCs w:val="28"/>
                <w:highlight w:val="none"/>
              </w:rPr>
            </w:pPr>
            <w:r>
              <w:rPr>
                <w:rFonts w:hint="eastAsia" w:ascii="宋体" w:hAnsi="宋体" w:eastAsia="宋体" w:cs="宋体"/>
                <w:snapToGrid w:val="0"/>
                <w:color w:val="000000"/>
                <w:sz w:val="28"/>
                <w:szCs w:val="28"/>
                <w:highlight w:val="none"/>
                <w:u w:val="single"/>
                <w:lang w:val="en-US" w:eastAsia="zh-CN"/>
              </w:rPr>
              <w:t>2026年5月29日</w:t>
            </w:r>
            <w:r>
              <w:rPr>
                <w:rFonts w:hint="eastAsia" w:ascii="宋体" w:hAnsi="宋体" w:eastAsia="宋体" w:cs="宋体"/>
                <w:bCs/>
                <w:snapToGrid w:val="0"/>
                <w:color w:val="000000"/>
                <w:sz w:val="28"/>
                <w:szCs w:val="28"/>
                <w:highlight w:val="none"/>
                <w:u w:val="single"/>
              </w:rPr>
              <w:t xml:space="preserve">  16  </w:t>
            </w:r>
            <w:r>
              <w:rPr>
                <w:rFonts w:hint="eastAsia" w:ascii="宋体" w:hAnsi="宋体" w:eastAsia="宋体" w:cs="宋体"/>
                <w:bCs/>
                <w:snapToGrid w:val="0"/>
                <w:color w:val="000000"/>
                <w:sz w:val="28"/>
                <w:szCs w:val="28"/>
                <w:highlight w:val="none"/>
              </w:rPr>
              <w:t>时</w:t>
            </w:r>
            <w:r>
              <w:rPr>
                <w:rFonts w:hint="eastAsia" w:ascii="宋体" w:hAnsi="宋体" w:eastAsia="宋体" w:cs="宋体"/>
                <w:bCs/>
                <w:snapToGrid w:val="0"/>
                <w:color w:val="000000"/>
                <w:sz w:val="28"/>
                <w:szCs w:val="28"/>
                <w:highlight w:val="none"/>
                <w:u w:val="single"/>
              </w:rPr>
              <w:t xml:space="preserve">  00  </w:t>
            </w:r>
            <w:r>
              <w:rPr>
                <w:rFonts w:hint="eastAsia" w:ascii="宋体" w:hAnsi="宋体" w:eastAsia="宋体" w:cs="宋体"/>
                <w:bCs/>
                <w:snapToGrid w:val="0"/>
                <w:color w:val="000000"/>
                <w:sz w:val="28"/>
                <w:szCs w:val="28"/>
                <w:highlight w:val="none"/>
              </w:rPr>
              <w:t>分</w:t>
            </w:r>
          </w:p>
        </w:tc>
      </w:tr>
      <w:tr w14:paraId="5CC02A9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1948" w:type="dxa"/>
            <w:tcBorders>
              <w:top w:val="single" w:color="auto" w:sz="4" w:space="0"/>
              <w:left w:val="single" w:color="auto" w:sz="8" w:space="0"/>
              <w:bottom w:val="single" w:color="auto" w:sz="4" w:space="0"/>
              <w:right w:val="single" w:color="auto" w:sz="4" w:space="0"/>
            </w:tcBorders>
            <w:noWrap w:val="0"/>
            <w:vAlign w:val="center"/>
          </w:tcPr>
          <w:p w14:paraId="4B32437F">
            <w:pPr>
              <w:snapToGrid w:val="0"/>
              <w:spacing w:line="460" w:lineRule="exact"/>
              <w:jc w:val="left"/>
              <w:rPr>
                <w:rFonts w:hint="eastAsia" w:ascii="宋体" w:hAnsi="宋体" w:eastAsia="宋体" w:cs="宋体"/>
                <w:snapToGrid w:val="0"/>
                <w:color w:val="000000"/>
                <w:sz w:val="28"/>
                <w:szCs w:val="28"/>
                <w:highlight w:val="none"/>
              </w:rPr>
            </w:pPr>
            <w:r>
              <w:rPr>
                <w:rFonts w:hint="eastAsia" w:ascii="宋体" w:hAnsi="宋体" w:eastAsia="宋体" w:cs="宋体"/>
                <w:snapToGrid w:val="0"/>
                <w:color w:val="000000"/>
                <w:sz w:val="28"/>
                <w:szCs w:val="28"/>
                <w:highlight w:val="none"/>
              </w:rPr>
              <w:t>投标有效期</w:t>
            </w:r>
          </w:p>
        </w:tc>
        <w:tc>
          <w:tcPr>
            <w:tcW w:w="8552" w:type="dxa"/>
            <w:gridSpan w:val="5"/>
            <w:tcBorders>
              <w:top w:val="single" w:color="auto" w:sz="4" w:space="0"/>
              <w:left w:val="single" w:color="auto" w:sz="4" w:space="0"/>
              <w:bottom w:val="single" w:color="auto" w:sz="4" w:space="0"/>
              <w:right w:val="single" w:color="auto" w:sz="8" w:space="0"/>
            </w:tcBorders>
            <w:noWrap w:val="0"/>
            <w:vAlign w:val="center"/>
          </w:tcPr>
          <w:p w14:paraId="6DD262D5">
            <w:pPr>
              <w:snapToGrid w:val="0"/>
              <w:spacing w:line="460" w:lineRule="exact"/>
              <w:jc w:val="left"/>
              <w:rPr>
                <w:rFonts w:hint="eastAsia" w:ascii="宋体" w:hAnsi="宋体" w:eastAsia="宋体" w:cs="宋体"/>
                <w:snapToGrid w:val="0"/>
                <w:color w:val="000000"/>
                <w:sz w:val="28"/>
                <w:szCs w:val="28"/>
                <w:highlight w:val="none"/>
                <w:u w:val="single"/>
              </w:rPr>
            </w:pPr>
            <w:r>
              <w:rPr>
                <w:rFonts w:hint="eastAsia" w:ascii="宋体" w:hAnsi="宋体" w:eastAsia="宋体" w:cs="宋体"/>
                <w:snapToGrid w:val="0"/>
                <w:color w:val="000000"/>
                <w:sz w:val="28"/>
                <w:szCs w:val="28"/>
                <w:highlight w:val="none"/>
                <w:u w:val="single"/>
              </w:rPr>
              <w:t>30</w:t>
            </w:r>
            <w:r>
              <w:rPr>
                <w:rFonts w:hint="eastAsia" w:ascii="宋体" w:hAnsi="宋体" w:eastAsia="宋体" w:cs="宋体"/>
                <w:snapToGrid w:val="0"/>
                <w:color w:val="000000"/>
                <w:sz w:val="28"/>
                <w:szCs w:val="28"/>
                <w:highlight w:val="none"/>
              </w:rPr>
              <w:t xml:space="preserve">天  </w:t>
            </w:r>
          </w:p>
        </w:tc>
      </w:tr>
      <w:tr w14:paraId="15D4222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44" w:hRule="atLeast"/>
          <w:jc w:val="center"/>
        </w:trPr>
        <w:tc>
          <w:tcPr>
            <w:tcW w:w="1948" w:type="dxa"/>
            <w:tcBorders>
              <w:top w:val="single" w:color="auto" w:sz="4" w:space="0"/>
              <w:left w:val="single" w:color="auto" w:sz="8" w:space="0"/>
              <w:bottom w:val="single" w:color="auto" w:sz="4" w:space="0"/>
              <w:right w:val="single" w:color="auto" w:sz="4" w:space="0"/>
            </w:tcBorders>
            <w:noWrap w:val="0"/>
            <w:vAlign w:val="center"/>
          </w:tcPr>
          <w:p w14:paraId="794FB50A">
            <w:pPr>
              <w:snapToGrid w:val="0"/>
              <w:spacing w:line="460" w:lineRule="exact"/>
              <w:jc w:val="left"/>
              <w:rPr>
                <w:rFonts w:hint="eastAsia" w:ascii="宋体" w:hAnsi="宋体" w:eastAsia="宋体" w:cs="宋体"/>
                <w:snapToGrid w:val="0"/>
                <w:color w:val="000000"/>
                <w:sz w:val="28"/>
                <w:szCs w:val="28"/>
                <w:highlight w:val="none"/>
              </w:rPr>
            </w:pPr>
            <w:r>
              <w:rPr>
                <w:rFonts w:hint="eastAsia" w:ascii="宋体" w:hAnsi="宋体" w:eastAsia="宋体" w:cs="宋体"/>
                <w:snapToGrid w:val="0"/>
                <w:color w:val="000000"/>
                <w:sz w:val="28"/>
                <w:szCs w:val="28"/>
                <w:highlight w:val="none"/>
              </w:rPr>
              <w:t>投标文件递交</w:t>
            </w:r>
          </w:p>
        </w:tc>
        <w:tc>
          <w:tcPr>
            <w:tcW w:w="681" w:type="dxa"/>
            <w:tcBorders>
              <w:top w:val="single" w:color="auto" w:sz="4" w:space="0"/>
              <w:left w:val="single" w:color="auto" w:sz="4" w:space="0"/>
              <w:bottom w:val="single" w:color="auto" w:sz="4" w:space="0"/>
              <w:right w:val="single" w:color="auto" w:sz="4" w:space="0"/>
            </w:tcBorders>
            <w:noWrap w:val="0"/>
            <w:vAlign w:val="center"/>
          </w:tcPr>
          <w:p w14:paraId="5E075D00">
            <w:pPr>
              <w:snapToGrid w:val="0"/>
              <w:spacing w:line="460" w:lineRule="exact"/>
              <w:jc w:val="left"/>
              <w:rPr>
                <w:rFonts w:hint="eastAsia" w:ascii="宋体" w:hAnsi="宋体" w:eastAsia="宋体" w:cs="宋体"/>
                <w:snapToGrid w:val="0"/>
                <w:color w:val="000000"/>
                <w:sz w:val="28"/>
                <w:szCs w:val="28"/>
                <w:highlight w:val="none"/>
              </w:rPr>
            </w:pPr>
            <w:r>
              <w:rPr>
                <w:rFonts w:hint="eastAsia" w:ascii="宋体" w:hAnsi="宋体" w:eastAsia="宋体" w:cs="宋体"/>
                <w:snapToGrid w:val="0"/>
                <w:color w:val="000000"/>
                <w:sz w:val="28"/>
                <w:szCs w:val="28"/>
                <w:highlight w:val="none"/>
              </w:rPr>
              <w:t>地址</w:t>
            </w:r>
          </w:p>
        </w:tc>
        <w:tc>
          <w:tcPr>
            <w:tcW w:w="3353" w:type="dxa"/>
            <w:gridSpan w:val="2"/>
            <w:tcBorders>
              <w:top w:val="single" w:color="auto" w:sz="4" w:space="0"/>
              <w:left w:val="single" w:color="auto" w:sz="4" w:space="0"/>
              <w:bottom w:val="single" w:color="auto" w:sz="4" w:space="0"/>
              <w:right w:val="single" w:color="auto" w:sz="4" w:space="0"/>
            </w:tcBorders>
            <w:noWrap w:val="0"/>
            <w:vAlign w:val="center"/>
          </w:tcPr>
          <w:p w14:paraId="38CB8CC9">
            <w:pPr>
              <w:snapToGrid w:val="0"/>
              <w:spacing w:line="460" w:lineRule="exact"/>
              <w:jc w:val="left"/>
              <w:rPr>
                <w:rFonts w:hint="eastAsia" w:ascii="宋体" w:hAnsi="宋体" w:eastAsia="宋体" w:cs="宋体"/>
                <w:snapToGrid w:val="0"/>
                <w:color w:val="000000"/>
                <w:sz w:val="28"/>
                <w:szCs w:val="28"/>
                <w:highlight w:val="none"/>
              </w:rPr>
            </w:pPr>
            <w:r>
              <w:rPr>
                <w:rFonts w:hint="eastAsia" w:ascii="宋体" w:hAnsi="宋体" w:eastAsia="宋体" w:cs="宋体"/>
                <w:snapToGrid w:val="0"/>
                <w:color w:val="000000"/>
                <w:sz w:val="28"/>
                <w:szCs w:val="28"/>
                <w:highlight w:val="none"/>
              </w:rPr>
              <w:t>扬州市立新路14号</w:t>
            </w:r>
          </w:p>
        </w:tc>
        <w:tc>
          <w:tcPr>
            <w:tcW w:w="697" w:type="dxa"/>
            <w:tcBorders>
              <w:top w:val="single" w:color="auto" w:sz="4" w:space="0"/>
              <w:left w:val="single" w:color="auto" w:sz="4" w:space="0"/>
              <w:bottom w:val="single" w:color="auto" w:sz="4" w:space="0"/>
              <w:right w:val="single" w:color="auto" w:sz="4" w:space="0"/>
            </w:tcBorders>
            <w:noWrap w:val="0"/>
            <w:vAlign w:val="center"/>
          </w:tcPr>
          <w:p w14:paraId="49E8B075">
            <w:pPr>
              <w:snapToGrid w:val="0"/>
              <w:spacing w:line="460" w:lineRule="exact"/>
              <w:jc w:val="left"/>
              <w:rPr>
                <w:rFonts w:hint="eastAsia" w:ascii="宋体" w:hAnsi="宋体" w:eastAsia="宋体" w:cs="宋体"/>
                <w:snapToGrid w:val="0"/>
                <w:color w:val="000000"/>
                <w:sz w:val="28"/>
                <w:szCs w:val="28"/>
                <w:highlight w:val="none"/>
              </w:rPr>
            </w:pPr>
            <w:r>
              <w:rPr>
                <w:rFonts w:hint="eastAsia" w:ascii="宋体" w:hAnsi="宋体" w:eastAsia="宋体" w:cs="宋体"/>
                <w:snapToGrid w:val="0"/>
                <w:color w:val="000000"/>
                <w:sz w:val="28"/>
                <w:szCs w:val="28"/>
                <w:highlight w:val="none"/>
              </w:rPr>
              <w:t>地点</w:t>
            </w:r>
          </w:p>
        </w:tc>
        <w:tc>
          <w:tcPr>
            <w:tcW w:w="3821" w:type="dxa"/>
            <w:tcBorders>
              <w:top w:val="single" w:color="auto" w:sz="4" w:space="0"/>
              <w:left w:val="single" w:color="auto" w:sz="4" w:space="0"/>
              <w:bottom w:val="single" w:color="auto" w:sz="4" w:space="0"/>
              <w:right w:val="single" w:color="auto" w:sz="8" w:space="0"/>
            </w:tcBorders>
            <w:noWrap w:val="0"/>
            <w:vAlign w:val="center"/>
          </w:tcPr>
          <w:p w14:paraId="2A3E2B82">
            <w:pPr>
              <w:snapToGrid w:val="0"/>
              <w:spacing w:line="460" w:lineRule="exact"/>
              <w:jc w:val="left"/>
              <w:rPr>
                <w:rFonts w:hint="eastAsia" w:ascii="宋体" w:hAnsi="宋体" w:eastAsia="宋体" w:cs="宋体"/>
                <w:snapToGrid w:val="0"/>
                <w:color w:val="000000"/>
                <w:sz w:val="28"/>
                <w:szCs w:val="28"/>
                <w:highlight w:val="none"/>
                <w:u w:val="single"/>
              </w:rPr>
            </w:pPr>
            <w:r>
              <w:rPr>
                <w:rFonts w:hint="eastAsia" w:ascii="宋体" w:hAnsi="宋体" w:eastAsia="宋体" w:cs="宋体"/>
                <w:snapToGrid w:val="0"/>
                <w:color w:val="000000"/>
                <w:sz w:val="28"/>
                <w:szCs w:val="28"/>
                <w:highlight w:val="none"/>
                <w:u w:val="single"/>
              </w:rPr>
              <w:t>扬州市上善建设工程有限公司工程技术部</w:t>
            </w:r>
          </w:p>
        </w:tc>
      </w:tr>
      <w:tr w14:paraId="4B631DE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43" w:hRule="atLeast"/>
          <w:jc w:val="center"/>
        </w:trPr>
        <w:tc>
          <w:tcPr>
            <w:tcW w:w="1948" w:type="dxa"/>
            <w:tcBorders>
              <w:top w:val="single" w:color="auto" w:sz="4" w:space="0"/>
              <w:left w:val="single" w:color="auto" w:sz="8" w:space="0"/>
              <w:bottom w:val="single" w:color="auto" w:sz="4" w:space="0"/>
              <w:right w:val="single" w:color="auto" w:sz="4" w:space="0"/>
            </w:tcBorders>
            <w:noWrap w:val="0"/>
            <w:vAlign w:val="center"/>
          </w:tcPr>
          <w:p w14:paraId="204833B6">
            <w:pPr>
              <w:snapToGrid w:val="0"/>
              <w:spacing w:line="460" w:lineRule="exact"/>
              <w:jc w:val="left"/>
              <w:rPr>
                <w:rFonts w:hint="eastAsia" w:ascii="宋体" w:hAnsi="宋体" w:eastAsia="宋体" w:cs="宋体"/>
                <w:snapToGrid w:val="0"/>
                <w:color w:val="000000"/>
                <w:sz w:val="28"/>
                <w:szCs w:val="28"/>
                <w:highlight w:val="none"/>
              </w:rPr>
            </w:pPr>
            <w:r>
              <w:rPr>
                <w:rFonts w:hint="eastAsia" w:ascii="宋体" w:hAnsi="宋体" w:eastAsia="宋体" w:cs="宋体"/>
                <w:snapToGrid w:val="0"/>
                <w:color w:val="000000"/>
                <w:sz w:val="28"/>
                <w:szCs w:val="28"/>
                <w:highlight w:val="none"/>
              </w:rPr>
              <w:t>开标会</w:t>
            </w:r>
          </w:p>
        </w:tc>
        <w:tc>
          <w:tcPr>
            <w:tcW w:w="681" w:type="dxa"/>
            <w:tcBorders>
              <w:top w:val="single" w:color="auto" w:sz="4" w:space="0"/>
              <w:left w:val="single" w:color="auto" w:sz="4" w:space="0"/>
              <w:bottom w:val="single" w:color="auto" w:sz="4" w:space="0"/>
              <w:right w:val="single" w:color="auto" w:sz="4" w:space="0"/>
            </w:tcBorders>
            <w:noWrap w:val="0"/>
            <w:vAlign w:val="center"/>
          </w:tcPr>
          <w:p w14:paraId="6E2D2933">
            <w:pPr>
              <w:snapToGrid w:val="0"/>
              <w:spacing w:line="460" w:lineRule="exact"/>
              <w:jc w:val="left"/>
              <w:rPr>
                <w:rFonts w:hint="eastAsia" w:ascii="宋体" w:hAnsi="宋体" w:eastAsia="宋体" w:cs="宋体"/>
                <w:snapToGrid w:val="0"/>
                <w:color w:val="000000"/>
                <w:sz w:val="28"/>
                <w:szCs w:val="28"/>
                <w:highlight w:val="none"/>
              </w:rPr>
            </w:pPr>
            <w:r>
              <w:rPr>
                <w:rFonts w:hint="eastAsia" w:ascii="宋体" w:hAnsi="宋体" w:eastAsia="宋体" w:cs="宋体"/>
                <w:snapToGrid w:val="0"/>
                <w:color w:val="000000"/>
                <w:sz w:val="28"/>
                <w:szCs w:val="28"/>
                <w:highlight w:val="none"/>
              </w:rPr>
              <w:t>时间</w:t>
            </w:r>
          </w:p>
        </w:tc>
        <w:tc>
          <w:tcPr>
            <w:tcW w:w="3353" w:type="dxa"/>
            <w:gridSpan w:val="2"/>
            <w:tcBorders>
              <w:top w:val="single" w:color="auto" w:sz="4" w:space="0"/>
              <w:left w:val="single" w:color="auto" w:sz="4" w:space="0"/>
              <w:bottom w:val="single" w:color="auto" w:sz="4" w:space="0"/>
              <w:right w:val="single" w:color="auto" w:sz="4" w:space="0"/>
            </w:tcBorders>
            <w:noWrap w:val="0"/>
            <w:vAlign w:val="center"/>
          </w:tcPr>
          <w:p w14:paraId="165CBC79">
            <w:pPr>
              <w:snapToGrid w:val="0"/>
              <w:spacing w:line="460" w:lineRule="exact"/>
              <w:jc w:val="left"/>
              <w:rPr>
                <w:rFonts w:hint="eastAsia" w:ascii="宋体" w:hAnsi="宋体" w:eastAsia="宋体" w:cs="宋体"/>
                <w:snapToGrid w:val="0"/>
                <w:color w:val="000000"/>
                <w:sz w:val="28"/>
                <w:szCs w:val="28"/>
                <w:highlight w:val="none"/>
                <w:lang w:eastAsia="zh-CN"/>
              </w:rPr>
            </w:pPr>
            <w:r>
              <w:rPr>
                <w:rFonts w:hint="eastAsia" w:ascii="宋体" w:hAnsi="宋体" w:eastAsia="宋体" w:cs="宋体"/>
                <w:snapToGrid w:val="0"/>
                <w:color w:val="000000"/>
                <w:sz w:val="28"/>
                <w:szCs w:val="28"/>
                <w:highlight w:val="none"/>
                <w:lang w:eastAsia="zh-CN"/>
              </w:rPr>
              <w:t>待定</w:t>
            </w:r>
          </w:p>
        </w:tc>
        <w:tc>
          <w:tcPr>
            <w:tcW w:w="697" w:type="dxa"/>
            <w:tcBorders>
              <w:top w:val="single" w:color="auto" w:sz="4" w:space="0"/>
              <w:left w:val="single" w:color="auto" w:sz="4" w:space="0"/>
              <w:bottom w:val="single" w:color="auto" w:sz="4" w:space="0"/>
              <w:right w:val="single" w:color="auto" w:sz="4" w:space="0"/>
            </w:tcBorders>
            <w:noWrap w:val="0"/>
            <w:vAlign w:val="center"/>
          </w:tcPr>
          <w:p w14:paraId="3D7AEBC2">
            <w:pPr>
              <w:snapToGrid w:val="0"/>
              <w:spacing w:line="460" w:lineRule="exact"/>
              <w:jc w:val="left"/>
              <w:rPr>
                <w:rFonts w:hint="eastAsia" w:ascii="宋体" w:hAnsi="宋体" w:eastAsia="宋体" w:cs="宋体"/>
                <w:snapToGrid w:val="0"/>
                <w:color w:val="000000"/>
                <w:sz w:val="28"/>
                <w:szCs w:val="28"/>
                <w:highlight w:val="none"/>
              </w:rPr>
            </w:pPr>
            <w:r>
              <w:rPr>
                <w:rFonts w:hint="eastAsia" w:ascii="宋体" w:hAnsi="宋体" w:eastAsia="宋体" w:cs="宋体"/>
                <w:snapToGrid w:val="0"/>
                <w:color w:val="000000"/>
                <w:sz w:val="28"/>
                <w:szCs w:val="28"/>
                <w:highlight w:val="none"/>
              </w:rPr>
              <w:t>地址</w:t>
            </w:r>
          </w:p>
        </w:tc>
        <w:tc>
          <w:tcPr>
            <w:tcW w:w="3821" w:type="dxa"/>
            <w:tcBorders>
              <w:top w:val="single" w:color="auto" w:sz="4" w:space="0"/>
              <w:left w:val="single" w:color="auto" w:sz="4" w:space="0"/>
              <w:bottom w:val="single" w:color="auto" w:sz="4" w:space="0"/>
              <w:right w:val="single" w:color="auto" w:sz="8" w:space="0"/>
            </w:tcBorders>
            <w:noWrap w:val="0"/>
            <w:vAlign w:val="center"/>
          </w:tcPr>
          <w:p w14:paraId="242CB64F">
            <w:pPr>
              <w:snapToGrid w:val="0"/>
              <w:spacing w:line="460" w:lineRule="exact"/>
              <w:jc w:val="left"/>
              <w:rPr>
                <w:rFonts w:hint="eastAsia" w:ascii="宋体" w:hAnsi="宋体" w:eastAsia="宋体" w:cs="宋体"/>
                <w:snapToGrid w:val="0"/>
                <w:color w:val="000000"/>
                <w:sz w:val="28"/>
                <w:szCs w:val="28"/>
                <w:highlight w:val="none"/>
              </w:rPr>
            </w:pPr>
            <w:r>
              <w:rPr>
                <w:rFonts w:hint="eastAsia" w:ascii="宋体" w:hAnsi="宋体" w:eastAsia="宋体" w:cs="宋体"/>
                <w:snapToGrid w:val="0"/>
                <w:color w:val="000000"/>
                <w:sz w:val="28"/>
                <w:szCs w:val="28"/>
                <w:highlight w:val="none"/>
                <w:u w:val="single"/>
              </w:rPr>
              <w:t>扬州市上善建设工程有限公司</w:t>
            </w:r>
            <w:r>
              <w:rPr>
                <w:rFonts w:hint="eastAsia" w:ascii="宋体" w:hAnsi="宋体" w:eastAsia="宋体" w:cs="宋体"/>
                <w:snapToGrid w:val="0"/>
                <w:color w:val="000000"/>
                <w:sz w:val="28"/>
                <w:szCs w:val="28"/>
                <w:highlight w:val="none"/>
                <w:u w:val="single"/>
                <w:lang w:eastAsia="zh-CN"/>
              </w:rPr>
              <w:t>二楼</w:t>
            </w:r>
            <w:r>
              <w:rPr>
                <w:rFonts w:hint="eastAsia" w:ascii="宋体" w:hAnsi="宋体" w:eastAsia="宋体" w:cs="宋体"/>
                <w:snapToGrid w:val="0"/>
                <w:color w:val="000000"/>
                <w:sz w:val="28"/>
                <w:szCs w:val="28"/>
                <w:highlight w:val="none"/>
                <w:u w:val="single"/>
              </w:rPr>
              <w:t>会议室</w:t>
            </w:r>
          </w:p>
        </w:tc>
      </w:tr>
      <w:tr w14:paraId="63EAC72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53" w:hRule="atLeast"/>
          <w:jc w:val="center"/>
        </w:trPr>
        <w:tc>
          <w:tcPr>
            <w:tcW w:w="1948" w:type="dxa"/>
            <w:tcBorders>
              <w:top w:val="single" w:color="auto" w:sz="4" w:space="0"/>
              <w:left w:val="single" w:color="auto" w:sz="8" w:space="0"/>
              <w:bottom w:val="single" w:color="auto" w:sz="4" w:space="0"/>
              <w:right w:val="single" w:color="auto" w:sz="4" w:space="0"/>
            </w:tcBorders>
            <w:noWrap w:val="0"/>
            <w:vAlign w:val="center"/>
          </w:tcPr>
          <w:p w14:paraId="430328F2">
            <w:pPr>
              <w:snapToGrid w:val="0"/>
              <w:spacing w:line="460" w:lineRule="exact"/>
              <w:jc w:val="left"/>
              <w:rPr>
                <w:rFonts w:hint="eastAsia" w:ascii="宋体" w:hAnsi="宋体" w:eastAsia="宋体" w:cs="宋体"/>
                <w:snapToGrid w:val="0"/>
                <w:color w:val="000000"/>
                <w:sz w:val="28"/>
                <w:szCs w:val="28"/>
                <w:highlight w:val="none"/>
              </w:rPr>
            </w:pPr>
            <w:r>
              <w:rPr>
                <w:rFonts w:hint="eastAsia" w:ascii="宋体" w:hAnsi="宋体" w:eastAsia="宋体" w:cs="宋体"/>
                <w:snapToGrid w:val="0"/>
                <w:color w:val="000000"/>
                <w:sz w:val="28"/>
                <w:szCs w:val="28"/>
                <w:highlight w:val="none"/>
              </w:rPr>
              <w:t>标书装订</w:t>
            </w:r>
          </w:p>
          <w:p w14:paraId="37D49A8E">
            <w:pPr>
              <w:snapToGrid w:val="0"/>
              <w:spacing w:line="460" w:lineRule="exact"/>
              <w:jc w:val="left"/>
              <w:rPr>
                <w:rFonts w:hint="eastAsia" w:ascii="宋体" w:hAnsi="宋体" w:eastAsia="宋体" w:cs="宋体"/>
                <w:snapToGrid w:val="0"/>
                <w:color w:val="000000"/>
                <w:sz w:val="28"/>
                <w:szCs w:val="28"/>
                <w:highlight w:val="none"/>
              </w:rPr>
            </w:pPr>
            <w:r>
              <w:rPr>
                <w:rFonts w:hint="eastAsia" w:ascii="宋体" w:hAnsi="宋体" w:eastAsia="宋体" w:cs="宋体"/>
                <w:snapToGrid w:val="0"/>
                <w:color w:val="000000"/>
                <w:sz w:val="28"/>
                <w:szCs w:val="28"/>
                <w:highlight w:val="none"/>
              </w:rPr>
              <w:t>及密封要求</w:t>
            </w:r>
          </w:p>
        </w:tc>
        <w:tc>
          <w:tcPr>
            <w:tcW w:w="8552" w:type="dxa"/>
            <w:gridSpan w:val="5"/>
            <w:tcBorders>
              <w:top w:val="single" w:color="auto" w:sz="4" w:space="0"/>
              <w:left w:val="single" w:color="auto" w:sz="4" w:space="0"/>
              <w:bottom w:val="single" w:color="auto" w:sz="4" w:space="0"/>
              <w:right w:val="single" w:color="auto" w:sz="8" w:space="0"/>
            </w:tcBorders>
            <w:noWrap w:val="0"/>
            <w:vAlign w:val="center"/>
          </w:tcPr>
          <w:p w14:paraId="628F5891">
            <w:pPr>
              <w:pStyle w:val="8"/>
              <w:adjustRightInd w:val="0"/>
              <w:snapToGrid w:val="0"/>
              <w:spacing w:line="460" w:lineRule="exact"/>
              <w:ind w:firstLine="0"/>
              <w:jc w:val="left"/>
              <w:rPr>
                <w:rFonts w:hint="eastAsia" w:hAnsi="宋体"/>
                <w:snapToGrid w:val="0"/>
                <w:color w:val="000000"/>
                <w:szCs w:val="28"/>
                <w:highlight w:val="none"/>
              </w:rPr>
            </w:pPr>
            <w:r>
              <w:rPr>
                <w:rFonts w:hint="eastAsia" w:hAnsi="宋体"/>
                <w:snapToGrid w:val="0"/>
                <w:color w:val="000000"/>
                <w:szCs w:val="28"/>
                <w:highlight w:val="none"/>
              </w:rPr>
              <w:t>所有封袋上应写明招标人名称、工程名称和标段及投标人的名称。</w:t>
            </w:r>
          </w:p>
          <w:p w14:paraId="2B1FD0E6">
            <w:pPr>
              <w:snapToGrid w:val="0"/>
              <w:spacing w:line="460" w:lineRule="exact"/>
              <w:jc w:val="left"/>
              <w:rPr>
                <w:rFonts w:hint="eastAsia" w:ascii="宋体" w:hAnsi="宋体" w:eastAsia="宋体" w:cs="宋体"/>
                <w:snapToGrid w:val="0"/>
                <w:color w:val="000000"/>
                <w:sz w:val="28"/>
                <w:szCs w:val="28"/>
                <w:highlight w:val="none"/>
              </w:rPr>
            </w:pPr>
            <w:r>
              <w:rPr>
                <w:rFonts w:hint="eastAsia" w:ascii="宋体" w:hAnsi="宋体"/>
                <w:snapToGrid w:val="0"/>
                <w:color w:val="000000"/>
                <w:sz w:val="28"/>
                <w:szCs w:val="28"/>
                <w:highlight w:val="none"/>
              </w:rPr>
              <w:t>所有投标文件都必须在封袋加盖投标单位法人公章及其法定代表人或授权委托人印鉴 。</w:t>
            </w:r>
          </w:p>
        </w:tc>
      </w:tr>
      <w:tr w14:paraId="6420002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1948" w:type="dxa"/>
            <w:tcBorders>
              <w:top w:val="single" w:color="auto" w:sz="4" w:space="0"/>
              <w:left w:val="single" w:color="auto" w:sz="8" w:space="0"/>
              <w:bottom w:val="single" w:color="auto" w:sz="4" w:space="0"/>
              <w:right w:val="single" w:color="auto" w:sz="4" w:space="0"/>
            </w:tcBorders>
            <w:noWrap w:val="0"/>
            <w:vAlign w:val="center"/>
          </w:tcPr>
          <w:p w14:paraId="23F3F849">
            <w:pPr>
              <w:snapToGrid w:val="0"/>
              <w:spacing w:line="460" w:lineRule="exact"/>
              <w:jc w:val="left"/>
              <w:rPr>
                <w:rFonts w:hint="eastAsia" w:ascii="宋体" w:hAnsi="宋体" w:eastAsia="宋体" w:cs="宋体"/>
                <w:snapToGrid w:val="0"/>
                <w:color w:val="000000"/>
                <w:sz w:val="28"/>
                <w:szCs w:val="28"/>
                <w:highlight w:val="none"/>
              </w:rPr>
            </w:pPr>
            <w:r>
              <w:rPr>
                <w:rFonts w:hint="eastAsia" w:ascii="宋体" w:hAnsi="宋体" w:eastAsia="宋体" w:cs="宋体"/>
                <w:snapToGrid w:val="0"/>
                <w:color w:val="000000"/>
                <w:sz w:val="28"/>
                <w:szCs w:val="28"/>
                <w:highlight w:val="none"/>
              </w:rPr>
              <w:t>评标办法</w:t>
            </w:r>
          </w:p>
        </w:tc>
        <w:tc>
          <w:tcPr>
            <w:tcW w:w="8552" w:type="dxa"/>
            <w:gridSpan w:val="5"/>
            <w:tcBorders>
              <w:top w:val="single" w:color="auto" w:sz="4" w:space="0"/>
              <w:left w:val="single" w:color="auto" w:sz="4" w:space="0"/>
              <w:bottom w:val="single" w:color="auto" w:sz="4" w:space="0"/>
              <w:right w:val="single" w:color="auto" w:sz="8" w:space="0"/>
            </w:tcBorders>
            <w:noWrap w:val="0"/>
            <w:vAlign w:val="center"/>
          </w:tcPr>
          <w:p w14:paraId="52AC12E1">
            <w:pPr>
              <w:snapToGrid w:val="0"/>
              <w:spacing w:line="460" w:lineRule="exact"/>
              <w:jc w:val="left"/>
              <w:rPr>
                <w:rFonts w:hint="eastAsia" w:ascii="宋体" w:hAnsi="宋体" w:eastAsia="宋体" w:cs="宋体"/>
                <w:snapToGrid w:val="0"/>
                <w:color w:val="000000"/>
                <w:sz w:val="28"/>
                <w:szCs w:val="28"/>
                <w:highlight w:val="none"/>
                <w:lang w:val="en-US" w:eastAsia="zh-CN"/>
              </w:rPr>
            </w:pPr>
            <w:r>
              <w:rPr>
                <w:rFonts w:hint="eastAsia" w:ascii="宋体" w:hAnsi="宋体" w:eastAsia="宋体" w:cs="宋体"/>
                <w:snapToGrid w:val="0"/>
                <w:color w:val="000000"/>
                <w:sz w:val="28"/>
                <w:szCs w:val="28"/>
                <w:highlight w:val="none"/>
              </w:rPr>
              <w:t>经评审的最低投标价法</w:t>
            </w:r>
          </w:p>
        </w:tc>
      </w:tr>
      <w:tr w14:paraId="10F00F7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45" w:hRule="atLeast"/>
          <w:jc w:val="center"/>
        </w:trPr>
        <w:tc>
          <w:tcPr>
            <w:tcW w:w="1948" w:type="dxa"/>
            <w:tcBorders>
              <w:top w:val="single" w:color="auto" w:sz="4" w:space="0"/>
              <w:left w:val="single" w:color="auto" w:sz="8" w:space="0"/>
              <w:bottom w:val="single" w:color="auto" w:sz="4" w:space="0"/>
              <w:right w:val="single" w:color="auto" w:sz="4" w:space="0"/>
            </w:tcBorders>
            <w:noWrap w:val="0"/>
            <w:vAlign w:val="center"/>
          </w:tcPr>
          <w:p w14:paraId="5DBCBEB3">
            <w:pPr>
              <w:snapToGrid w:val="0"/>
              <w:spacing w:line="460" w:lineRule="exact"/>
              <w:jc w:val="left"/>
              <w:rPr>
                <w:rFonts w:hint="eastAsia" w:ascii="宋体" w:hAnsi="宋体" w:eastAsia="宋体" w:cs="宋体"/>
                <w:snapToGrid w:val="0"/>
                <w:color w:val="000000"/>
                <w:sz w:val="28"/>
                <w:szCs w:val="28"/>
                <w:highlight w:val="none"/>
              </w:rPr>
            </w:pPr>
            <w:r>
              <w:rPr>
                <w:rFonts w:hint="eastAsia" w:ascii="宋体" w:hAnsi="宋体" w:eastAsia="宋体" w:cs="宋体"/>
                <w:color w:val="000000"/>
                <w:sz w:val="28"/>
                <w:szCs w:val="28"/>
                <w:highlight w:val="none"/>
              </w:rPr>
              <w:t>合同结算方式</w:t>
            </w:r>
          </w:p>
        </w:tc>
        <w:tc>
          <w:tcPr>
            <w:tcW w:w="8552" w:type="dxa"/>
            <w:gridSpan w:val="5"/>
            <w:tcBorders>
              <w:top w:val="single" w:color="auto" w:sz="4" w:space="0"/>
              <w:left w:val="single" w:color="auto" w:sz="4" w:space="0"/>
              <w:bottom w:val="single" w:color="auto" w:sz="4" w:space="0"/>
              <w:right w:val="single" w:color="auto" w:sz="8" w:space="0"/>
            </w:tcBorders>
            <w:noWrap w:val="0"/>
            <w:vAlign w:val="center"/>
          </w:tcPr>
          <w:p w14:paraId="0B54BB47">
            <w:pPr>
              <w:numPr>
                <w:ilvl w:val="0"/>
                <w:numId w:val="4"/>
              </w:numPr>
              <w:snapToGrid w:val="0"/>
              <w:spacing w:line="460" w:lineRule="exact"/>
              <w:ind w:leftChars="0"/>
              <w:jc w:val="left"/>
              <w:rPr>
                <w:rFonts w:hint="eastAsia" w:ascii="宋体" w:hAnsi="宋体" w:eastAsia="宋体" w:cs="宋体"/>
                <w:snapToGrid w:val="0"/>
                <w:color w:val="000000"/>
                <w:sz w:val="28"/>
                <w:highlight w:val="none"/>
              </w:rPr>
            </w:pPr>
            <w:r>
              <w:rPr>
                <w:rFonts w:hint="eastAsia" w:ascii="宋体" w:hAnsi="宋体" w:eastAsia="宋体" w:cs="宋体"/>
                <w:snapToGrid w:val="0"/>
                <w:color w:val="000000"/>
                <w:sz w:val="28"/>
                <w:highlight w:val="none"/>
              </w:rPr>
              <w:t>本合同价款采用</w:t>
            </w:r>
            <w:r>
              <w:rPr>
                <w:rFonts w:hint="eastAsia" w:ascii="宋体" w:hAnsi="宋体" w:eastAsia="宋体" w:cs="宋体"/>
                <w:snapToGrid w:val="0"/>
                <w:color w:val="000000"/>
                <w:sz w:val="28"/>
                <w:highlight w:val="none"/>
                <w:lang w:val="en-US" w:eastAsia="zh-CN"/>
              </w:rPr>
              <w:t>固定单价</w:t>
            </w:r>
            <w:r>
              <w:rPr>
                <w:rFonts w:hint="eastAsia" w:ascii="宋体" w:hAnsi="宋体" w:cs="宋体"/>
                <w:snapToGrid w:val="0"/>
                <w:color w:val="000000"/>
                <w:sz w:val="28"/>
                <w:highlight w:val="none"/>
                <w:lang w:val="en-US" w:eastAsia="zh-CN"/>
              </w:rPr>
              <w:t>。</w:t>
            </w:r>
          </w:p>
          <w:p w14:paraId="7878FC1F">
            <w:pPr>
              <w:numPr>
                <w:ilvl w:val="0"/>
                <w:numId w:val="4"/>
              </w:numPr>
              <w:snapToGrid w:val="0"/>
              <w:spacing w:line="460" w:lineRule="exact"/>
              <w:ind w:leftChars="0"/>
              <w:jc w:val="left"/>
              <w:rPr>
                <w:rFonts w:hint="eastAsia" w:ascii="宋体" w:hAnsi="宋体" w:eastAsia="宋体" w:cs="宋体"/>
                <w:snapToGrid w:val="0"/>
                <w:color w:val="000000"/>
                <w:sz w:val="28"/>
                <w:highlight w:val="none"/>
              </w:rPr>
            </w:pPr>
            <w:r>
              <w:rPr>
                <w:rFonts w:hint="eastAsia" w:ascii="宋体" w:hAnsi="宋体" w:eastAsia="宋体" w:cs="宋体"/>
                <w:snapToGrid w:val="0"/>
                <w:color w:val="000000"/>
                <w:sz w:val="28"/>
                <w:highlight w:val="none"/>
                <w:lang w:val="en-US" w:eastAsia="zh-CN"/>
              </w:rPr>
              <w:t>税金：3%</w:t>
            </w:r>
          </w:p>
        </w:tc>
      </w:tr>
      <w:tr w14:paraId="09A6FAC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204" w:hRule="atLeast"/>
          <w:jc w:val="center"/>
        </w:trPr>
        <w:tc>
          <w:tcPr>
            <w:tcW w:w="1948" w:type="dxa"/>
            <w:tcBorders>
              <w:top w:val="single" w:color="auto" w:sz="4" w:space="0"/>
              <w:left w:val="single" w:color="auto" w:sz="8" w:space="0"/>
              <w:bottom w:val="single" w:color="auto" w:sz="4" w:space="0"/>
              <w:right w:val="single" w:color="auto" w:sz="4" w:space="0"/>
            </w:tcBorders>
            <w:noWrap w:val="0"/>
            <w:vAlign w:val="center"/>
          </w:tcPr>
          <w:p w14:paraId="6F3B0DF2">
            <w:pPr>
              <w:snapToGrid w:val="0"/>
              <w:spacing w:line="460" w:lineRule="exact"/>
              <w:jc w:val="left"/>
              <w:rPr>
                <w:rFonts w:hint="eastAsia" w:ascii="宋体" w:hAnsi="宋体" w:eastAsia="宋体" w:cs="宋体"/>
                <w:color w:val="000000"/>
                <w:sz w:val="28"/>
                <w:szCs w:val="28"/>
                <w:highlight w:val="none"/>
                <w:lang w:eastAsia="zh-CN"/>
              </w:rPr>
            </w:pPr>
            <w:r>
              <w:rPr>
                <w:rFonts w:hint="eastAsia" w:ascii="宋体" w:hAnsi="宋体" w:eastAsia="宋体" w:cs="宋体"/>
                <w:color w:val="000000"/>
                <w:spacing w:val="-3"/>
                <w:kern w:val="0"/>
                <w:sz w:val="28"/>
                <w:szCs w:val="28"/>
                <w:highlight w:val="none"/>
              </w:rPr>
              <w:t>质量保修</w:t>
            </w:r>
            <w:r>
              <w:rPr>
                <w:rFonts w:hint="eastAsia" w:ascii="宋体" w:hAnsi="宋体" w:eastAsia="宋体" w:cs="宋体"/>
                <w:color w:val="000000"/>
                <w:spacing w:val="-3"/>
                <w:kern w:val="0"/>
                <w:sz w:val="28"/>
                <w:szCs w:val="28"/>
                <w:highlight w:val="none"/>
                <w:lang w:eastAsia="zh-CN"/>
              </w:rPr>
              <w:t>及付款方式</w:t>
            </w:r>
          </w:p>
        </w:tc>
        <w:tc>
          <w:tcPr>
            <w:tcW w:w="8552" w:type="dxa"/>
            <w:gridSpan w:val="5"/>
            <w:tcBorders>
              <w:top w:val="single" w:color="auto" w:sz="4" w:space="0"/>
              <w:left w:val="single" w:color="auto" w:sz="4" w:space="0"/>
              <w:bottom w:val="single" w:color="auto" w:sz="4" w:space="0"/>
              <w:right w:val="single" w:color="auto" w:sz="8" w:space="0"/>
            </w:tcBorders>
            <w:noWrap w:val="0"/>
            <w:vAlign w:val="center"/>
          </w:tcPr>
          <w:p w14:paraId="11A9E6BA">
            <w:pPr>
              <w:snapToGrid w:val="0"/>
              <w:spacing w:line="460" w:lineRule="exact"/>
              <w:jc w:val="left"/>
              <w:rPr>
                <w:rFonts w:hint="eastAsia" w:ascii="宋体" w:hAnsi="宋体" w:eastAsia="宋体" w:cs="宋体"/>
                <w:snapToGrid w:val="0"/>
                <w:color w:val="000000"/>
                <w:sz w:val="28"/>
                <w:szCs w:val="28"/>
                <w:highlight w:val="none"/>
              </w:rPr>
            </w:pPr>
            <w:r>
              <w:rPr>
                <w:rFonts w:hint="eastAsia" w:ascii="宋体" w:hAnsi="宋体" w:eastAsia="宋体" w:cs="宋体"/>
                <w:snapToGrid w:val="0"/>
                <w:color w:val="000000"/>
                <w:sz w:val="28"/>
                <w:szCs w:val="28"/>
                <w:highlight w:val="none"/>
              </w:rPr>
              <w:t>1、下文中与“前附表”内容不一致的，以“前附表”为准；</w:t>
            </w:r>
          </w:p>
          <w:p w14:paraId="520726CB">
            <w:pPr>
              <w:spacing w:line="540" w:lineRule="exact"/>
              <w:jc w:val="left"/>
              <w:rPr>
                <w:rFonts w:hint="eastAsia" w:hAnsi="Arial" w:cs="宋体"/>
                <w:color w:val="000000"/>
                <w:spacing w:val="-3"/>
                <w:kern w:val="0"/>
                <w:sz w:val="28"/>
                <w:szCs w:val="28"/>
                <w:highlight w:val="none"/>
              </w:rPr>
            </w:pPr>
            <w:r>
              <w:rPr>
                <w:rFonts w:hint="eastAsia" w:hAnsi="Arial" w:cs="宋体"/>
                <w:color w:val="000000"/>
                <w:spacing w:val="-3"/>
                <w:kern w:val="0"/>
                <w:sz w:val="28"/>
                <w:szCs w:val="28"/>
                <w:highlight w:val="none"/>
              </w:rPr>
              <w:t>2、工程质量保修承诺：</w:t>
            </w:r>
            <w:r>
              <w:rPr>
                <w:rFonts w:hint="eastAsia" w:ascii="宋体" w:hAnsi="宋体" w:eastAsia="宋体" w:cs="宋体"/>
                <w:color w:val="000000"/>
                <w:spacing w:val="-3"/>
                <w:kern w:val="0"/>
                <w:sz w:val="28"/>
                <w:szCs w:val="28"/>
                <w:highlight w:val="none"/>
              </w:rPr>
              <w:t>本工程</w:t>
            </w:r>
            <w:r>
              <w:rPr>
                <w:rFonts w:hint="eastAsia" w:ascii="宋体" w:hAnsi="宋体" w:eastAsia="宋体" w:cs="宋体"/>
                <w:color w:val="000000"/>
                <w:spacing w:val="-3"/>
                <w:kern w:val="0"/>
                <w:sz w:val="28"/>
                <w:szCs w:val="28"/>
                <w:highlight w:val="none"/>
                <w:lang w:eastAsia="zh-CN"/>
              </w:rPr>
              <w:t>缺陷责任期</w:t>
            </w:r>
            <w:r>
              <w:rPr>
                <w:rFonts w:hint="eastAsia" w:ascii="宋体" w:hAnsi="宋体" w:eastAsia="宋体" w:cs="宋体"/>
                <w:color w:val="000000"/>
                <w:spacing w:val="-3"/>
                <w:kern w:val="0"/>
                <w:sz w:val="28"/>
                <w:szCs w:val="28"/>
                <w:highlight w:val="none"/>
              </w:rPr>
              <w:t>范围内发生质量问题由</w:t>
            </w:r>
            <w:r>
              <w:rPr>
                <w:rFonts w:hint="eastAsia" w:ascii="宋体" w:hAnsi="宋体" w:eastAsia="宋体" w:cs="宋体"/>
                <w:color w:val="000000"/>
                <w:spacing w:val="-3"/>
                <w:kern w:val="0"/>
                <w:sz w:val="28"/>
                <w:szCs w:val="28"/>
                <w:highlight w:val="none"/>
                <w:lang w:eastAsia="zh-CN"/>
              </w:rPr>
              <w:t>承包方</w:t>
            </w:r>
            <w:r>
              <w:rPr>
                <w:rFonts w:hint="eastAsia" w:ascii="宋体" w:hAnsi="宋体" w:eastAsia="宋体" w:cs="宋体"/>
                <w:color w:val="000000"/>
                <w:spacing w:val="-3"/>
                <w:kern w:val="0"/>
                <w:sz w:val="28"/>
                <w:szCs w:val="28"/>
                <w:highlight w:val="none"/>
              </w:rPr>
              <w:t>免费维修</w:t>
            </w:r>
            <w:r>
              <w:rPr>
                <w:rFonts w:hint="eastAsia" w:ascii="宋体" w:hAnsi="宋体" w:eastAsia="宋体" w:cs="宋体"/>
                <w:color w:val="000000"/>
                <w:spacing w:val="-3"/>
                <w:kern w:val="0"/>
                <w:sz w:val="28"/>
                <w:szCs w:val="28"/>
                <w:highlight w:val="none"/>
                <w:lang w:eastAsia="zh-CN"/>
              </w:rPr>
              <w:t>，缺陷责任期限同发包方与建设单位约定期限同步</w:t>
            </w:r>
            <w:r>
              <w:rPr>
                <w:rFonts w:hint="eastAsia" w:ascii="宋体" w:hAnsi="宋体" w:eastAsia="宋体" w:cs="宋体"/>
                <w:color w:val="000000"/>
                <w:spacing w:val="-3"/>
                <w:kern w:val="0"/>
                <w:sz w:val="28"/>
                <w:szCs w:val="28"/>
                <w:highlight w:val="none"/>
              </w:rPr>
              <w:t>。</w:t>
            </w:r>
          </w:p>
          <w:p w14:paraId="2E5EBAEE">
            <w:pPr>
              <w:snapToGrid w:val="0"/>
              <w:spacing w:line="460" w:lineRule="exact"/>
              <w:jc w:val="left"/>
              <w:rPr>
                <w:rFonts w:hint="eastAsia" w:ascii="宋体" w:hAnsi="宋体" w:eastAsia="宋体" w:cs="宋体"/>
                <w:snapToGrid w:val="0"/>
                <w:color w:val="000000"/>
                <w:sz w:val="28"/>
                <w:highlight w:val="none"/>
              </w:rPr>
            </w:pPr>
            <w:r>
              <w:rPr>
                <w:rFonts w:hint="eastAsia" w:hAnsi="Arial" w:cs="宋体"/>
                <w:color w:val="000000"/>
                <w:spacing w:val="-3"/>
                <w:kern w:val="0"/>
                <w:sz w:val="28"/>
                <w:szCs w:val="28"/>
                <w:highlight w:val="none"/>
                <w:lang w:val="en-US" w:eastAsia="zh-CN"/>
              </w:rPr>
              <w:t>3</w:t>
            </w:r>
            <w:r>
              <w:rPr>
                <w:rFonts w:hint="eastAsia" w:hAnsi="Arial" w:cs="宋体"/>
                <w:color w:val="000000"/>
                <w:spacing w:val="-3"/>
                <w:kern w:val="0"/>
                <w:sz w:val="28"/>
                <w:szCs w:val="28"/>
                <w:highlight w:val="none"/>
              </w:rPr>
              <w:t>、</w:t>
            </w:r>
            <w:r>
              <w:rPr>
                <w:rFonts w:hint="eastAsia" w:ascii="宋体" w:hAnsi="宋体" w:eastAsia="宋体" w:cs="宋体"/>
                <w:snapToGrid w:val="0"/>
                <w:color w:val="000000"/>
                <w:sz w:val="28"/>
                <w:highlight w:val="none"/>
              </w:rPr>
              <w:t>分包款支付：</w:t>
            </w:r>
          </w:p>
          <w:p w14:paraId="75ADE6B6">
            <w:pPr>
              <w:snapToGrid w:val="0"/>
              <w:spacing w:line="460" w:lineRule="exact"/>
              <w:ind w:firstLine="560" w:firstLineChars="200"/>
              <w:jc w:val="left"/>
              <w:rPr>
                <w:rFonts w:hint="eastAsia" w:ascii="宋体" w:hAnsi="宋体" w:eastAsia="宋体" w:cs="宋体"/>
                <w:snapToGrid w:val="0"/>
                <w:color w:val="000000"/>
                <w:sz w:val="28"/>
                <w:highlight w:val="none"/>
                <w:lang w:val="en-US" w:eastAsia="zh-CN"/>
              </w:rPr>
            </w:pPr>
            <w:r>
              <w:rPr>
                <w:rFonts w:hint="eastAsia" w:ascii="宋体" w:hAnsi="宋体" w:eastAsia="宋体" w:cs="宋体"/>
                <w:snapToGrid w:val="0"/>
                <w:color w:val="000000"/>
                <w:sz w:val="28"/>
                <w:highlight w:val="none"/>
                <w:lang w:val="en-US" w:eastAsia="zh-CN"/>
              </w:rPr>
              <w:t xml:space="preserve">本合同价款采用 </w:t>
            </w:r>
            <w:r>
              <w:rPr>
                <w:rFonts w:hint="eastAsia" w:ascii="宋体" w:hAnsi="宋体" w:cs="宋体"/>
                <w:snapToGrid w:val="0"/>
                <w:color w:val="000000"/>
                <w:sz w:val="28"/>
                <w:highlight w:val="none"/>
                <w:lang w:val="en-US" w:eastAsia="zh-CN"/>
              </w:rPr>
              <w:t>固定单价</w:t>
            </w:r>
            <w:r>
              <w:rPr>
                <w:rFonts w:hint="eastAsia" w:ascii="宋体" w:hAnsi="宋体" w:eastAsia="宋体" w:cs="宋体"/>
                <w:snapToGrid w:val="0"/>
                <w:color w:val="000000"/>
                <w:sz w:val="28"/>
                <w:highlight w:val="none"/>
                <w:lang w:val="en-US" w:eastAsia="zh-CN"/>
              </w:rPr>
              <w:t xml:space="preserve"> 结算方式，甲方对项目验收合格，经结算审计并取得3%增值税专用发票后一个月内付清全款。如乙方按期不办理对帐结算手续及未提供经甲方财务认可的正规发票，甲方将不予办理付款事宜，因此而造成乙方损失由乙方自行承担。</w:t>
            </w:r>
          </w:p>
          <w:p w14:paraId="58059B72">
            <w:pPr>
              <w:snapToGrid w:val="0"/>
              <w:spacing w:line="460" w:lineRule="exact"/>
              <w:ind w:firstLine="560" w:firstLineChars="200"/>
              <w:jc w:val="left"/>
              <w:rPr>
                <w:rFonts w:hint="eastAsia" w:ascii="宋体" w:hAnsi="宋体" w:eastAsia="宋体" w:cs="宋体"/>
                <w:snapToGrid w:val="0"/>
                <w:color w:val="000000"/>
                <w:sz w:val="28"/>
                <w:highlight w:val="none"/>
                <w:lang w:val="en-US" w:eastAsia="zh-CN"/>
              </w:rPr>
            </w:pPr>
            <w:r>
              <w:rPr>
                <w:rFonts w:hint="eastAsia" w:ascii="宋体" w:hAnsi="宋体" w:eastAsia="宋体" w:cs="宋体"/>
                <w:snapToGrid w:val="0"/>
                <w:color w:val="auto"/>
                <w:sz w:val="28"/>
                <w:highlight w:val="none"/>
              </w:rPr>
              <w:t>以上劳务分包工程款支付，需满足建设单位工程款已入账，且不超过回款比例。</w:t>
            </w:r>
          </w:p>
        </w:tc>
      </w:tr>
      <w:tr w14:paraId="12F81FA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26" w:hRule="atLeast"/>
          <w:jc w:val="center"/>
        </w:trPr>
        <w:tc>
          <w:tcPr>
            <w:tcW w:w="1948" w:type="dxa"/>
            <w:tcBorders>
              <w:top w:val="single" w:color="auto" w:sz="4" w:space="0"/>
              <w:left w:val="single" w:color="auto" w:sz="8" w:space="0"/>
              <w:bottom w:val="single" w:color="auto" w:sz="4" w:space="0"/>
              <w:right w:val="single" w:color="auto" w:sz="4" w:space="0"/>
            </w:tcBorders>
            <w:noWrap w:val="0"/>
            <w:vAlign w:val="center"/>
          </w:tcPr>
          <w:p w14:paraId="6D9356E5">
            <w:pPr>
              <w:snapToGrid w:val="0"/>
              <w:spacing w:line="460" w:lineRule="exact"/>
              <w:jc w:val="left"/>
              <w:rPr>
                <w:rFonts w:hint="eastAsia" w:ascii="宋体" w:hAnsi="宋体" w:eastAsia="宋体" w:cs="宋体"/>
                <w:snapToGrid w:val="0"/>
                <w:color w:val="000000"/>
                <w:sz w:val="28"/>
                <w:szCs w:val="28"/>
                <w:highlight w:val="none"/>
              </w:rPr>
            </w:pPr>
            <w:r>
              <w:rPr>
                <w:rFonts w:hint="eastAsia" w:ascii="宋体" w:hAnsi="宋体" w:eastAsia="宋体" w:cs="宋体"/>
                <w:snapToGrid w:val="0"/>
                <w:color w:val="000000"/>
                <w:sz w:val="28"/>
                <w:szCs w:val="28"/>
                <w:highlight w:val="none"/>
              </w:rPr>
              <w:t>联系方式</w:t>
            </w:r>
          </w:p>
        </w:tc>
        <w:tc>
          <w:tcPr>
            <w:tcW w:w="8552" w:type="dxa"/>
            <w:gridSpan w:val="5"/>
            <w:tcBorders>
              <w:top w:val="single" w:color="auto" w:sz="4" w:space="0"/>
              <w:left w:val="single" w:color="auto" w:sz="4" w:space="0"/>
              <w:bottom w:val="single" w:color="auto" w:sz="4" w:space="0"/>
              <w:right w:val="single" w:color="auto" w:sz="8" w:space="0"/>
            </w:tcBorders>
            <w:noWrap w:val="0"/>
            <w:vAlign w:val="center"/>
          </w:tcPr>
          <w:p w14:paraId="1368988D">
            <w:pPr>
              <w:adjustRightInd w:val="0"/>
              <w:snapToGrid w:val="0"/>
              <w:spacing w:line="460" w:lineRule="exact"/>
              <w:jc w:val="left"/>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招标人：扬州市上善建设工程有限公司</w:t>
            </w:r>
            <w:r>
              <w:rPr>
                <w:rFonts w:hint="eastAsia" w:ascii="宋体" w:hAnsi="宋体" w:eastAsia="宋体" w:cs="宋体"/>
                <w:color w:val="000000"/>
                <w:sz w:val="28"/>
                <w:szCs w:val="28"/>
                <w:highlight w:val="none"/>
                <w:lang w:val="en-US" w:eastAsia="zh-CN"/>
              </w:rPr>
              <w:t xml:space="preserve">  </w:t>
            </w:r>
            <w:r>
              <w:rPr>
                <w:rFonts w:hint="eastAsia" w:ascii="宋体" w:hAnsi="宋体" w:eastAsia="宋体" w:cs="宋体"/>
                <w:color w:val="000000"/>
                <w:sz w:val="28"/>
                <w:szCs w:val="28"/>
                <w:highlight w:val="none"/>
              </w:rPr>
              <w:t>地址：扬州市立新路14号</w:t>
            </w:r>
          </w:p>
          <w:p w14:paraId="4ECD58E9">
            <w:pPr>
              <w:adjustRightInd w:val="0"/>
              <w:snapToGrid w:val="0"/>
              <w:spacing w:line="460" w:lineRule="exact"/>
              <w:jc w:val="left"/>
              <w:rPr>
                <w:rFonts w:hint="default" w:ascii="宋体" w:hAnsi="宋体" w:eastAsia="宋体" w:cs="宋体"/>
                <w:color w:val="000000"/>
                <w:spacing w:val="-3"/>
                <w:kern w:val="0"/>
                <w:sz w:val="28"/>
                <w:szCs w:val="28"/>
                <w:highlight w:val="none"/>
                <w:lang w:val="en-US" w:eastAsia="zh-CN"/>
              </w:rPr>
            </w:pPr>
            <w:r>
              <w:rPr>
                <w:rFonts w:hint="eastAsia" w:ascii="宋体" w:hAnsi="宋体" w:eastAsia="宋体" w:cs="宋体"/>
                <w:color w:val="000000"/>
                <w:sz w:val="28"/>
                <w:szCs w:val="28"/>
                <w:highlight w:val="none"/>
              </w:rPr>
              <w:t>电  话：</w:t>
            </w:r>
            <w:r>
              <w:rPr>
                <w:rFonts w:hint="eastAsia" w:ascii="宋体" w:hAnsi="宋体" w:eastAsia="宋体" w:cs="宋体"/>
                <w:color w:val="000000"/>
                <w:sz w:val="28"/>
                <w:szCs w:val="28"/>
                <w:highlight w:val="none"/>
                <w:lang w:val="en-US" w:eastAsia="zh-CN"/>
              </w:rPr>
              <w:t xml:space="preserve">18752555355    </w:t>
            </w:r>
            <w:r>
              <w:rPr>
                <w:rFonts w:hint="eastAsia" w:ascii="宋体" w:hAnsi="宋体" w:eastAsia="宋体" w:cs="宋体"/>
                <w:color w:val="000000"/>
                <w:sz w:val="28"/>
                <w:szCs w:val="28"/>
                <w:highlight w:val="none"/>
              </w:rPr>
              <w:t>联系人：</w:t>
            </w:r>
            <w:r>
              <w:rPr>
                <w:rFonts w:hint="eastAsia" w:ascii="宋体" w:hAnsi="宋体" w:eastAsia="宋体" w:cs="宋体"/>
                <w:color w:val="000000"/>
                <w:sz w:val="28"/>
                <w:szCs w:val="28"/>
                <w:highlight w:val="none"/>
                <w:lang w:val="en-US" w:eastAsia="zh-CN"/>
              </w:rPr>
              <w:t>储工</w:t>
            </w:r>
          </w:p>
        </w:tc>
      </w:tr>
      <w:tr w14:paraId="19131DB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948" w:type="dxa"/>
            <w:tcBorders>
              <w:top w:val="single" w:color="auto" w:sz="4" w:space="0"/>
              <w:left w:val="single" w:color="auto" w:sz="8" w:space="0"/>
              <w:bottom w:val="single" w:color="auto" w:sz="4" w:space="0"/>
              <w:right w:val="single" w:color="auto" w:sz="4" w:space="0"/>
            </w:tcBorders>
            <w:noWrap w:val="0"/>
            <w:vAlign w:val="center"/>
          </w:tcPr>
          <w:p w14:paraId="7A589AE6">
            <w:pPr>
              <w:snapToGrid w:val="0"/>
              <w:spacing w:line="460" w:lineRule="exact"/>
              <w:jc w:val="both"/>
              <w:rPr>
                <w:rFonts w:hint="eastAsia" w:ascii="宋体" w:hAnsi="宋体" w:eastAsia="宋体" w:cs="宋体"/>
                <w:snapToGrid w:val="0"/>
                <w:color w:val="000000"/>
                <w:sz w:val="28"/>
                <w:szCs w:val="28"/>
                <w:highlight w:val="none"/>
                <w:lang w:eastAsia="zh-CN"/>
              </w:rPr>
            </w:pPr>
            <w:r>
              <w:rPr>
                <w:rFonts w:hint="eastAsia" w:ascii="宋体" w:hAnsi="宋体" w:eastAsia="宋体" w:cs="宋体"/>
                <w:snapToGrid w:val="0"/>
                <w:color w:val="000000"/>
                <w:sz w:val="28"/>
                <w:szCs w:val="28"/>
                <w:highlight w:val="none"/>
                <w:lang w:eastAsia="zh-CN"/>
              </w:rPr>
              <w:t>其他</w:t>
            </w:r>
          </w:p>
        </w:tc>
        <w:tc>
          <w:tcPr>
            <w:tcW w:w="8552" w:type="dxa"/>
            <w:gridSpan w:val="5"/>
            <w:tcBorders>
              <w:top w:val="single" w:color="auto" w:sz="4" w:space="0"/>
              <w:left w:val="single" w:color="auto" w:sz="4" w:space="0"/>
              <w:bottom w:val="single" w:color="auto" w:sz="4" w:space="0"/>
              <w:right w:val="single" w:color="auto" w:sz="8" w:space="0"/>
            </w:tcBorders>
            <w:noWrap w:val="0"/>
            <w:vAlign w:val="center"/>
          </w:tcPr>
          <w:p w14:paraId="6B34377F">
            <w:pPr>
              <w:numPr>
                <w:ilvl w:val="0"/>
                <w:numId w:val="5"/>
              </w:numPr>
              <w:adjustRightInd w:val="0"/>
              <w:snapToGrid w:val="0"/>
              <w:spacing w:line="460" w:lineRule="exact"/>
              <w:rPr>
                <w:rFonts w:hint="default"/>
                <w:highlight w:val="none"/>
                <w:lang w:val="en-US"/>
              </w:rPr>
            </w:pPr>
            <w:r>
              <w:rPr>
                <w:rFonts w:hint="eastAsia" w:ascii="宋体" w:hAnsi="宋体" w:eastAsia="宋体" w:cs="宋体"/>
                <w:color w:val="000000"/>
                <w:sz w:val="28"/>
                <w:szCs w:val="28"/>
                <w:highlight w:val="none"/>
                <w:lang w:val="en-US" w:eastAsia="zh-CN"/>
              </w:rPr>
              <w:t>投标人报价费用包含一切不可见因素，如：矛盾协调费、临水、临电、协助报批报建、档案管理费、地下管线保护、深基坑监测、方案论证</w:t>
            </w:r>
            <w:r>
              <w:rPr>
                <w:rFonts w:hint="eastAsia" w:ascii="宋体" w:hAnsi="宋体" w:cs="宋体"/>
                <w:color w:val="000000"/>
                <w:sz w:val="28"/>
                <w:szCs w:val="28"/>
                <w:highlight w:val="none"/>
                <w:lang w:val="en-US" w:eastAsia="zh-CN"/>
              </w:rPr>
              <w:t>、扬尘防治</w:t>
            </w:r>
            <w:r>
              <w:rPr>
                <w:rFonts w:hint="eastAsia" w:ascii="宋体" w:hAnsi="宋体" w:eastAsia="宋体" w:cs="宋体"/>
                <w:color w:val="000000"/>
                <w:sz w:val="28"/>
                <w:szCs w:val="28"/>
                <w:highlight w:val="none"/>
                <w:lang w:val="en-US" w:eastAsia="zh-CN"/>
              </w:rPr>
              <w:t>等，投标人需自行考虑，招标人不再额外支付。图纸、清单和实际的偏差风险均考虑进投标报价。</w:t>
            </w:r>
          </w:p>
          <w:p w14:paraId="19721A63">
            <w:pPr>
              <w:numPr>
                <w:ilvl w:val="0"/>
                <w:numId w:val="5"/>
              </w:numPr>
              <w:adjustRightInd w:val="0"/>
              <w:snapToGrid w:val="0"/>
              <w:spacing w:line="460" w:lineRule="exact"/>
              <w:rPr>
                <w:rFonts w:hint="default"/>
                <w:highlight w:val="none"/>
                <w:lang w:val="en-US"/>
              </w:rPr>
            </w:pPr>
            <w:r>
              <w:rPr>
                <w:rFonts w:hint="eastAsia" w:ascii="宋体" w:hAnsi="宋体" w:cs="宋体"/>
                <w:color w:val="000000"/>
                <w:sz w:val="28"/>
                <w:szCs w:val="28"/>
                <w:highlight w:val="none"/>
                <w:lang w:val="en-US" w:eastAsia="zh-CN"/>
              </w:rPr>
              <w:t>投标人</w:t>
            </w:r>
            <w:r>
              <w:rPr>
                <w:rFonts w:hint="eastAsia" w:ascii="宋体" w:hAnsi="宋体" w:eastAsia="宋体" w:cs="宋体"/>
                <w:color w:val="000000"/>
                <w:sz w:val="28"/>
                <w:szCs w:val="28"/>
                <w:highlight w:val="none"/>
                <w:lang w:val="en-US" w:eastAsia="zh-CN"/>
              </w:rPr>
              <w:t>必须使用符合国标及项目所在地现行有效标准的新能源动力机械及车辆，车辆具有交管部门签发的机动车上路资质。</w:t>
            </w:r>
          </w:p>
        </w:tc>
      </w:tr>
    </w:tbl>
    <w:p w14:paraId="44F538A1">
      <w:pPr>
        <w:adjustRightInd w:val="0"/>
        <w:snapToGrid w:val="0"/>
        <w:spacing w:line="460" w:lineRule="exact"/>
        <w:rPr>
          <w:rFonts w:hint="eastAsia" w:ascii="宋体" w:hAnsi="宋体" w:eastAsia="宋体" w:cs="宋体"/>
          <w:b/>
          <w:bCs/>
          <w:snapToGrid w:val="0"/>
          <w:color w:val="000000"/>
          <w:sz w:val="30"/>
          <w:highlight w:val="none"/>
        </w:rPr>
      </w:pPr>
      <w:r>
        <w:rPr>
          <w:rFonts w:hint="eastAsia" w:ascii="宋体" w:hAnsi="宋体" w:eastAsia="宋体" w:cs="宋体"/>
          <w:color w:val="000000"/>
          <w:sz w:val="28"/>
          <w:szCs w:val="28"/>
          <w:highlight w:val="none"/>
        </w:rPr>
        <w:t>招标文件编制人：</w:t>
      </w:r>
      <w:r>
        <w:rPr>
          <w:rFonts w:hint="eastAsia" w:ascii="宋体" w:hAnsi="宋体" w:eastAsia="宋体" w:cs="宋体"/>
          <w:color w:val="000000"/>
          <w:sz w:val="28"/>
          <w:szCs w:val="28"/>
          <w:highlight w:val="none"/>
          <w:lang w:val="en-US" w:eastAsia="zh-CN"/>
        </w:rPr>
        <w:t xml:space="preserve">储睿            </w:t>
      </w:r>
      <w:r>
        <w:rPr>
          <w:rFonts w:hint="eastAsia" w:ascii="宋体" w:hAnsi="宋体" w:eastAsia="宋体" w:cs="宋体"/>
          <w:color w:val="000000"/>
          <w:sz w:val="28"/>
          <w:szCs w:val="28"/>
          <w:highlight w:val="none"/>
        </w:rPr>
        <w:t xml:space="preserve">           单位（盖章）：</w:t>
      </w:r>
    </w:p>
    <w:p w14:paraId="2197B8F1">
      <w:pPr>
        <w:adjustRightInd w:val="0"/>
        <w:snapToGrid w:val="0"/>
        <w:spacing w:line="360" w:lineRule="auto"/>
        <w:jc w:val="center"/>
        <w:rPr>
          <w:rFonts w:hint="eastAsia" w:ascii="宋体" w:hAnsi="宋体" w:eastAsia="宋体" w:cs="宋体"/>
          <w:b/>
          <w:bCs/>
          <w:snapToGrid w:val="0"/>
          <w:color w:val="000000"/>
          <w:sz w:val="30"/>
          <w:highlight w:val="none"/>
        </w:rPr>
      </w:pPr>
      <w:r>
        <w:rPr>
          <w:rFonts w:hint="eastAsia" w:ascii="宋体" w:hAnsi="宋体" w:eastAsia="宋体" w:cs="宋体"/>
          <w:b/>
          <w:bCs/>
          <w:snapToGrid w:val="0"/>
          <w:color w:val="000000"/>
          <w:sz w:val="30"/>
          <w:highlight w:val="none"/>
        </w:rPr>
        <w:br w:type="page"/>
      </w:r>
      <w:r>
        <w:rPr>
          <w:rFonts w:hint="eastAsia" w:ascii="宋体" w:hAnsi="宋体" w:eastAsia="宋体" w:cs="宋体"/>
          <w:b/>
          <w:bCs/>
          <w:snapToGrid w:val="0"/>
          <w:color w:val="000000"/>
          <w:sz w:val="30"/>
          <w:highlight w:val="none"/>
        </w:rPr>
        <w:t>一、总    则</w:t>
      </w:r>
    </w:p>
    <w:p w14:paraId="2560FEC6">
      <w:pPr>
        <w:adjustRightInd w:val="0"/>
        <w:snapToGrid w:val="0"/>
        <w:spacing w:line="360" w:lineRule="auto"/>
        <w:ind w:firstLine="560" w:firstLineChars="200"/>
        <w:rPr>
          <w:rFonts w:hint="eastAsia" w:ascii="宋体" w:hAnsi="宋体" w:eastAsia="宋体" w:cs="宋体"/>
          <w:snapToGrid w:val="0"/>
          <w:color w:val="000000"/>
          <w:sz w:val="28"/>
          <w:highlight w:val="none"/>
        </w:rPr>
      </w:pPr>
      <w:r>
        <w:rPr>
          <w:rFonts w:hint="eastAsia" w:ascii="宋体" w:hAnsi="宋体" w:eastAsia="宋体" w:cs="宋体"/>
          <w:snapToGrid w:val="0"/>
          <w:color w:val="000000"/>
          <w:sz w:val="28"/>
          <w:highlight w:val="none"/>
          <w:lang w:val="en-US" w:eastAsia="zh-CN"/>
        </w:rPr>
        <w:t xml:space="preserve">第1条 </w:t>
      </w:r>
      <w:r>
        <w:rPr>
          <w:rFonts w:hint="eastAsia" w:ascii="宋体" w:hAnsi="宋体" w:eastAsia="宋体" w:cs="宋体"/>
          <w:snapToGrid w:val="0"/>
          <w:color w:val="000000"/>
          <w:sz w:val="28"/>
          <w:highlight w:val="none"/>
        </w:rPr>
        <w:t>招标项目</w:t>
      </w:r>
    </w:p>
    <w:p w14:paraId="42565782">
      <w:pPr>
        <w:adjustRightInd w:val="0"/>
        <w:snapToGrid w:val="0"/>
        <w:spacing w:line="360" w:lineRule="auto"/>
        <w:ind w:firstLine="567"/>
        <w:rPr>
          <w:rFonts w:hint="eastAsia" w:ascii="宋体" w:hAnsi="宋体" w:eastAsia="宋体" w:cs="宋体"/>
          <w:snapToGrid w:val="0"/>
          <w:color w:val="000000"/>
          <w:sz w:val="28"/>
          <w:highlight w:val="none"/>
        </w:rPr>
      </w:pPr>
      <w:r>
        <w:rPr>
          <w:rFonts w:hint="eastAsia" w:ascii="宋体" w:hAnsi="宋体" w:eastAsia="宋体" w:cs="宋体"/>
          <w:snapToGrid w:val="0"/>
          <w:color w:val="000000"/>
          <w:sz w:val="28"/>
          <w:highlight w:val="none"/>
          <w:lang w:val="en-US" w:eastAsia="zh-CN"/>
        </w:rPr>
        <w:t xml:space="preserve">1.1 </w:t>
      </w:r>
      <w:r>
        <w:rPr>
          <w:rFonts w:hint="eastAsia" w:ascii="宋体" w:hAnsi="宋体" w:eastAsia="宋体" w:cs="宋体"/>
          <w:snapToGrid w:val="0"/>
          <w:color w:val="000000"/>
          <w:sz w:val="28"/>
          <w:highlight w:val="none"/>
        </w:rPr>
        <w:t>本工程共划分</w:t>
      </w:r>
      <w:r>
        <w:rPr>
          <w:rFonts w:hint="eastAsia" w:ascii="宋体" w:hAnsi="宋体" w:eastAsia="宋体" w:cs="宋体"/>
          <w:snapToGrid w:val="0"/>
          <w:color w:val="000000"/>
          <w:sz w:val="28"/>
          <w:highlight w:val="none"/>
          <w:u w:val="single"/>
        </w:rPr>
        <w:t xml:space="preserve">   </w:t>
      </w:r>
      <w:r>
        <w:rPr>
          <w:rFonts w:hint="eastAsia" w:ascii="宋体" w:hAnsi="宋体" w:eastAsia="宋体" w:cs="宋体"/>
          <w:snapToGrid w:val="0"/>
          <w:color w:val="000000"/>
          <w:sz w:val="28"/>
          <w:highlight w:val="none"/>
          <w:u w:val="single"/>
          <w:lang w:val="en-US" w:eastAsia="zh-CN"/>
        </w:rPr>
        <w:t>/</w:t>
      </w:r>
      <w:r>
        <w:rPr>
          <w:rFonts w:hint="eastAsia" w:ascii="宋体" w:hAnsi="宋体" w:eastAsia="宋体" w:cs="宋体"/>
          <w:snapToGrid w:val="0"/>
          <w:color w:val="000000"/>
          <w:sz w:val="28"/>
          <w:highlight w:val="none"/>
          <w:u w:val="single"/>
        </w:rPr>
        <w:t xml:space="preserve">  </w:t>
      </w:r>
      <w:r>
        <w:rPr>
          <w:rFonts w:hint="eastAsia" w:ascii="宋体" w:hAnsi="宋体" w:eastAsia="宋体" w:cs="宋体"/>
          <w:snapToGrid w:val="0"/>
          <w:color w:val="000000"/>
          <w:sz w:val="28"/>
          <w:highlight w:val="none"/>
        </w:rPr>
        <w:t>标段：</w:t>
      </w:r>
    </w:p>
    <w:p w14:paraId="1BB5838C">
      <w:pPr>
        <w:numPr>
          <w:ilvl w:val="0"/>
          <w:numId w:val="0"/>
        </w:numPr>
        <w:adjustRightInd w:val="0"/>
        <w:snapToGrid w:val="0"/>
        <w:spacing w:line="360" w:lineRule="auto"/>
        <w:ind w:left="279" w:leftChars="133" w:firstLine="280" w:firstLineChars="100"/>
        <w:rPr>
          <w:rFonts w:hint="eastAsia" w:ascii="宋体" w:hAnsi="宋体" w:eastAsia="宋体" w:cs="宋体"/>
          <w:b/>
          <w:color w:val="000000"/>
          <w:sz w:val="28"/>
          <w:szCs w:val="28"/>
          <w:highlight w:val="none"/>
          <w:u w:val="none"/>
        </w:rPr>
      </w:pPr>
      <w:r>
        <w:rPr>
          <w:rFonts w:hint="eastAsia" w:ascii="宋体" w:hAnsi="宋体" w:eastAsia="宋体" w:cs="宋体"/>
          <w:snapToGrid w:val="0"/>
          <w:color w:val="000000"/>
          <w:sz w:val="28"/>
          <w:highlight w:val="none"/>
          <w:lang w:val="en-US" w:eastAsia="zh-CN"/>
        </w:rPr>
        <w:t xml:space="preserve">1.2 </w:t>
      </w:r>
      <w:r>
        <w:rPr>
          <w:rFonts w:hint="eastAsia" w:ascii="宋体" w:hAnsi="宋体" w:eastAsia="宋体" w:cs="宋体"/>
          <w:snapToGrid w:val="0"/>
          <w:color w:val="000000"/>
          <w:sz w:val="28"/>
          <w:highlight w:val="none"/>
        </w:rPr>
        <w:t>本次招标范围：</w:t>
      </w:r>
      <w:r>
        <w:rPr>
          <w:rFonts w:hint="eastAsia" w:ascii="宋体" w:hAnsi="宋体" w:eastAsia="宋体" w:cs="宋体"/>
          <w:snapToGrid w:val="0"/>
          <w:color w:val="000000"/>
          <w:sz w:val="28"/>
          <w:szCs w:val="28"/>
          <w:highlight w:val="none"/>
          <w:u w:val="single"/>
          <w:lang w:val="en-US" w:eastAsia="zh-CN"/>
        </w:rPr>
        <w:t>GZ380地块、GZ482及西侧地块草坪修剪及养护劳务分包，养护等级III级，养护期一年，成活率100%</w:t>
      </w:r>
      <w:r>
        <w:rPr>
          <w:rFonts w:hint="eastAsia" w:ascii="宋体" w:hAnsi="宋体" w:eastAsia="宋体" w:cs="宋体"/>
          <w:snapToGrid w:val="0"/>
          <w:color w:val="000000"/>
          <w:sz w:val="28"/>
          <w:highlight w:val="none"/>
          <w:lang w:val="en-US" w:eastAsia="zh-CN"/>
        </w:rPr>
        <w:t>。</w:t>
      </w:r>
    </w:p>
    <w:p w14:paraId="2976ED9E">
      <w:pPr>
        <w:adjustRightInd w:val="0"/>
        <w:snapToGrid w:val="0"/>
        <w:spacing w:line="360" w:lineRule="auto"/>
        <w:ind w:firstLine="560" w:firstLineChars="200"/>
        <w:rPr>
          <w:rFonts w:hint="eastAsia" w:ascii="宋体" w:hAnsi="宋体" w:eastAsia="宋体" w:cs="宋体"/>
          <w:snapToGrid w:val="0"/>
          <w:color w:val="000000"/>
          <w:sz w:val="28"/>
          <w:highlight w:val="none"/>
        </w:rPr>
      </w:pPr>
      <w:r>
        <w:rPr>
          <w:rFonts w:hint="eastAsia" w:ascii="宋体" w:hAnsi="宋体" w:eastAsia="宋体" w:cs="宋体"/>
          <w:snapToGrid w:val="0"/>
          <w:color w:val="000000"/>
          <w:sz w:val="28"/>
          <w:highlight w:val="none"/>
          <w:lang w:val="en-US" w:eastAsia="zh-CN"/>
        </w:rPr>
        <w:t xml:space="preserve">1.3 </w:t>
      </w:r>
      <w:r>
        <w:rPr>
          <w:rFonts w:hint="eastAsia" w:ascii="宋体" w:hAnsi="宋体" w:eastAsia="宋体" w:cs="宋体"/>
          <w:snapToGrid w:val="0"/>
          <w:color w:val="000000"/>
          <w:sz w:val="28"/>
          <w:highlight w:val="none"/>
        </w:rPr>
        <w:t>已具备的施工条件</w:t>
      </w:r>
    </w:p>
    <w:p w14:paraId="3632A239">
      <w:pPr>
        <w:adjustRightInd w:val="0"/>
        <w:snapToGrid w:val="0"/>
        <w:spacing w:line="360" w:lineRule="auto"/>
        <w:ind w:firstLine="560" w:firstLineChars="200"/>
        <w:rPr>
          <w:rFonts w:hint="eastAsia" w:ascii="宋体" w:hAnsi="宋体" w:eastAsia="宋体" w:cs="宋体"/>
          <w:b/>
          <w:bCs/>
          <w:iCs/>
          <w:snapToGrid w:val="0"/>
          <w:color w:val="000000"/>
          <w:sz w:val="28"/>
          <w:highlight w:val="none"/>
        </w:rPr>
      </w:pPr>
      <w:r>
        <w:rPr>
          <w:rFonts w:hint="eastAsia" w:ascii="宋体" w:hAnsi="宋体" w:eastAsia="宋体" w:cs="宋体"/>
          <w:snapToGrid w:val="0"/>
          <w:color w:val="000000"/>
          <w:sz w:val="28"/>
          <w:highlight w:val="none"/>
          <w:lang w:val="en-US" w:eastAsia="zh-CN"/>
        </w:rPr>
        <w:t xml:space="preserve">1.3.1 </w:t>
      </w:r>
      <w:r>
        <w:rPr>
          <w:rFonts w:hint="eastAsia" w:ascii="宋体" w:hAnsi="宋体" w:eastAsia="宋体" w:cs="宋体"/>
          <w:snapToGrid w:val="0"/>
          <w:color w:val="000000"/>
          <w:sz w:val="28"/>
          <w:highlight w:val="none"/>
        </w:rPr>
        <w:t>施工用水、电：</w:t>
      </w:r>
      <w:r>
        <w:rPr>
          <w:rFonts w:hint="eastAsia" w:ascii="宋体" w:hAnsi="宋体" w:eastAsia="宋体" w:cs="宋体"/>
          <w:b/>
          <w:bCs/>
          <w:iCs/>
          <w:snapToGrid w:val="0"/>
          <w:color w:val="000000"/>
          <w:sz w:val="28"/>
          <w:highlight w:val="none"/>
          <w:u w:val="single"/>
        </w:rPr>
        <w:t>满足施工要求</w:t>
      </w:r>
      <w:r>
        <w:rPr>
          <w:rFonts w:hint="eastAsia" w:ascii="宋体" w:hAnsi="宋体" w:eastAsia="宋体" w:cs="宋体"/>
          <w:b/>
          <w:bCs/>
          <w:iCs/>
          <w:snapToGrid w:val="0"/>
          <w:color w:val="000000"/>
          <w:sz w:val="28"/>
          <w:highlight w:val="none"/>
        </w:rPr>
        <w:t>；</w:t>
      </w:r>
    </w:p>
    <w:p w14:paraId="09FDA049">
      <w:pPr>
        <w:numPr>
          <w:ilvl w:val="0"/>
          <w:numId w:val="0"/>
        </w:numPr>
        <w:adjustRightInd w:val="0"/>
        <w:snapToGrid w:val="0"/>
        <w:spacing w:line="360" w:lineRule="auto"/>
        <w:ind w:firstLine="560" w:firstLineChars="200"/>
        <w:rPr>
          <w:rFonts w:hint="eastAsia" w:ascii="宋体" w:hAnsi="宋体" w:eastAsia="宋体" w:cs="宋体"/>
          <w:snapToGrid w:val="0"/>
          <w:color w:val="000000"/>
          <w:sz w:val="28"/>
          <w:highlight w:val="none"/>
        </w:rPr>
      </w:pPr>
      <w:r>
        <w:rPr>
          <w:rFonts w:hint="eastAsia" w:ascii="宋体" w:hAnsi="宋体" w:eastAsia="宋体" w:cs="宋体"/>
          <w:snapToGrid w:val="0"/>
          <w:color w:val="000000"/>
          <w:sz w:val="28"/>
          <w:highlight w:val="none"/>
          <w:lang w:val="en-US" w:eastAsia="zh-CN"/>
        </w:rPr>
        <w:t xml:space="preserve">第2条 </w:t>
      </w:r>
      <w:r>
        <w:rPr>
          <w:rFonts w:hint="eastAsia" w:ascii="宋体" w:hAnsi="宋体" w:eastAsia="宋体" w:cs="宋体"/>
          <w:snapToGrid w:val="0"/>
          <w:color w:val="000000"/>
          <w:sz w:val="28"/>
          <w:highlight w:val="none"/>
        </w:rPr>
        <w:t>投标人资格</w:t>
      </w:r>
      <w:r>
        <w:rPr>
          <w:rFonts w:hint="eastAsia" w:ascii="宋体" w:hAnsi="宋体" w:eastAsia="宋体" w:cs="宋体"/>
          <w:snapToGrid w:val="0"/>
          <w:color w:val="000000"/>
          <w:sz w:val="28"/>
          <w:highlight w:val="none"/>
          <w:lang w:eastAsia="zh-CN"/>
        </w:rPr>
        <w:t>、</w:t>
      </w:r>
      <w:r>
        <w:rPr>
          <w:rFonts w:hint="eastAsia" w:ascii="宋体" w:hAnsi="宋体" w:eastAsia="宋体" w:cs="宋体"/>
          <w:snapToGrid w:val="0"/>
          <w:color w:val="000000"/>
          <w:sz w:val="28"/>
          <w:highlight w:val="none"/>
        </w:rPr>
        <w:t>资质</w:t>
      </w:r>
    </w:p>
    <w:p w14:paraId="77322DEF">
      <w:pPr>
        <w:adjustRightInd w:val="0"/>
        <w:snapToGrid w:val="0"/>
        <w:spacing w:line="360" w:lineRule="auto"/>
        <w:ind w:firstLine="560" w:firstLineChars="200"/>
        <w:rPr>
          <w:rFonts w:hint="eastAsia" w:ascii="宋体" w:hAnsi="宋体" w:eastAsia="宋体" w:cs="宋体"/>
          <w:snapToGrid w:val="0"/>
          <w:color w:val="000000"/>
          <w:sz w:val="28"/>
          <w:szCs w:val="28"/>
          <w:highlight w:val="none"/>
          <w:lang w:val="en-US" w:eastAsia="zh-CN"/>
        </w:rPr>
      </w:pPr>
      <w:r>
        <w:rPr>
          <w:rFonts w:hint="eastAsia" w:ascii="宋体" w:hAnsi="宋体" w:eastAsia="宋体" w:cs="宋体"/>
          <w:snapToGrid w:val="0"/>
          <w:color w:val="000000"/>
          <w:sz w:val="28"/>
          <w:highlight w:val="none"/>
          <w:lang w:val="en-US" w:eastAsia="zh-CN"/>
        </w:rPr>
        <w:t>2.1 投标人不仅限于25-26上善公司</w:t>
      </w:r>
      <w:r>
        <w:rPr>
          <w:rFonts w:hint="eastAsia" w:ascii="宋体" w:hAnsi="宋体" w:eastAsia="宋体" w:cs="宋体"/>
          <w:snapToGrid w:val="0"/>
          <w:color w:val="000000"/>
          <w:sz w:val="28"/>
          <w:szCs w:val="28"/>
          <w:highlight w:val="none"/>
          <w:lang w:val="en-US" w:eastAsia="zh-CN"/>
        </w:rPr>
        <w:t>市政劳务名录库内协作单位。</w:t>
      </w:r>
    </w:p>
    <w:p w14:paraId="3EFF5BCE">
      <w:pPr>
        <w:adjustRightInd w:val="0"/>
        <w:snapToGrid w:val="0"/>
        <w:spacing w:line="360" w:lineRule="auto"/>
        <w:ind w:firstLine="560" w:firstLineChars="200"/>
        <w:rPr>
          <w:rFonts w:hint="eastAsia" w:ascii="宋体" w:hAnsi="宋体" w:eastAsia="宋体" w:cs="宋体"/>
          <w:snapToGrid w:val="0"/>
          <w:color w:val="000000"/>
          <w:sz w:val="28"/>
          <w:szCs w:val="28"/>
          <w:highlight w:val="none"/>
          <w:lang w:val="en-US" w:eastAsia="zh-CN"/>
        </w:rPr>
      </w:pPr>
      <w:r>
        <w:rPr>
          <w:rFonts w:hint="eastAsia" w:ascii="宋体" w:hAnsi="宋体" w:eastAsia="宋体" w:cs="宋体"/>
          <w:snapToGrid w:val="0"/>
          <w:color w:val="000000"/>
          <w:sz w:val="28"/>
          <w:szCs w:val="28"/>
          <w:highlight w:val="none"/>
          <w:lang w:val="en-US" w:eastAsia="zh-CN"/>
        </w:rPr>
        <w:t>2.2 投标人须提供近三年（竣工验收证明日期在2022年5月2</w:t>
      </w:r>
      <w:r>
        <w:rPr>
          <w:rFonts w:hint="eastAsia" w:ascii="宋体" w:hAnsi="宋体" w:cs="宋体"/>
          <w:snapToGrid w:val="0"/>
          <w:color w:val="000000"/>
          <w:sz w:val="28"/>
          <w:szCs w:val="28"/>
          <w:highlight w:val="none"/>
          <w:lang w:val="en-US" w:eastAsia="zh-CN"/>
        </w:rPr>
        <w:t>7</w:t>
      </w:r>
      <w:r>
        <w:rPr>
          <w:rFonts w:hint="eastAsia" w:ascii="宋体" w:hAnsi="宋体" w:eastAsia="宋体" w:cs="宋体"/>
          <w:snapToGrid w:val="0"/>
          <w:color w:val="000000"/>
          <w:sz w:val="28"/>
          <w:szCs w:val="28"/>
          <w:highlight w:val="none"/>
          <w:lang w:val="en-US" w:eastAsia="zh-CN"/>
        </w:rPr>
        <w:t>日后）绿化施工业绩（合同金额不少于20万）1份。提供</w:t>
      </w:r>
      <w:r>
        <w:rPr>
          <w:rFonts w:hint="eastAsia" w:ascii="宋体" w:hAnsi="宋体" w:eastAsia="宋体" w:cs="宋体"/>
          <w:snapToGrid w:val="0"/>
          <w:color w:val="000000"/>
          <w:sz w:val="28"/>
          <w:highlight w:val="none"/>
          <w:lang w:val="en-US" w:eastAsia="zh-CN"/>
        </w:rPr>
        <w:t>合同复印件、竣工验收证明并加盖公章。</w:t>
      </w:r>
      <w:r>
        <w:rPr>
          <w:rFonts w:hint="eastAsia" w:ascii="宋体" w:hAnsi="宋体" w:eastAsia="宋体" w:cs="宋体"/>
          <w:snapToGrid w:val="0"/>
          <w:color w:val="000000"/>
          <w:sz w:val="28"/>
          <w:szCs w:val="28"/>
          <w:highlight w:val="none"/>
          <w:lang w:val="en-US" w:eastAsia="zh-CN"/>
        </w:rPr>
        <w:t xml:space="preserve"> </w:t>
      </w:r>
    </w:p>
    <w:p w14:paraId="4E523103">
      <w:pPr>
        <w:adjustRightInd w:val="0"/>
        <w:snapToGrid w:val="0"/>
        <w:spacing w:line="360" w:lineRule="auto"/>
        <w:ind w:firstLine="560" w:firstLineChars="200"/>
        <w:rPr>
          <w:rFonts w:hint="eastAsia" w:ascii="宋体" w:hAnsi="宋体" w:eastAsia="宋体" w:cs="宋体"/>
          <w:snapToGrid w:val="0"/>
          <w:color w:val="000000"/>
          <w:sz w:val="28"/>
          <w:highlight w:val="none"/>
        </w:rPr>
      </w:pPr>
      <w:r>
        <w:rPr>
          <w:rFonts w:hint="eastAsia" w:ascii="宋体" w:hAnsi="宋体" w:eastAsia="宋体" w:cs="宋体"/>
          <w:snapToGrid w:val="0"/>
          <w:color w:val="000000"/>
          <w:sz w:val="28"/>
          <w:highlight w:val="none"/>
          <w:lang w:val="en-US" w:eastAsia="zh-CN"/>
        </w:rPr>
        <w:t xml:space="preserve">第3条 </w:t>
      </w:r>
      <w:r>
        <w:rPr>
          <w:rFonts w:hint="eastAsia" w:ascii="宋体" w:hAnsi="宋体" w:eastAsia="宋体" w:cs="宋体"/>
          <w:snapToGrid w:val="0"/>
          <w:color w:val="000000"/>
          <w:sz w:val="28"/>
          <w:highlight w:val="none"/>
        </w:rPr>
        <w:t>投标费用</w:t>
      </w:r>
    </w:p>
    <w:p w14:paraId="14D0F59F">
      <w:pPr>
        <w:adjustRightInd w:val="0"/>
        <w:snapToGrid w:val="0"/>
        <w:spacing w:line="360" w:lineRule="auto"/>
        <w:ind w:firstLine="567"/>
        <w:rPr>
          <w:rFonts w:hint="eastAsia" w:ascii="宋体" w:hAnsi="宋体" w:eastAsia="宋体" w:cs="宋体"/>
          <w:b/>
          <w:snapToGrid w:val="0"/>
          <w:color w:val="000000"/>
          <w:sz w:val="30"/>
          <w:highlight w:val="none"/>
        </w:rPr>
      </w:pPr>
      <w:r>
        <w:rPr>
          <w:rFonts w:hint="eastAsia" w:ascii="宋体" w:hAnsi="宋体" w:eastAsia="宋体" w:cs="宋体"/>
          <w:snapToGrid w:val="0"/>
          <w:color w:val="000000"/>
          <w:sz w:val="28"/>
          <w:highlight w:val="none"/>
          <w:lang w:val="en-US" w:eastAsia="zh-CN"/>
        </w:rPr>
        <w:t xml:space="preserve">3.1 </w:t>
      </w:r>
      <w:r>
        <w:rPr>
          <w:rFonts w:hint="eastAsia" w:ascii="宋体" w:hAnsi="宋体" w:eastAsia="宋体" w:cs="宋体"/>
          <w:snapToGrid w:val="0"/>
          <w:color w:val="000000"/>
          <w:sz w:val="28"/>
          <w:highlight w:val="none"/>
        </w:rPr>
        <w:t>投标人应承担其编制投标文件与递交投标文件所涉及的一切费用。不管投标结果如何，招标人对上述费用不负任何责任。</w:t>
      </w:r>
    </w:p>
    <w:p w14:paraId="03563449">
      <w:pPr>
        <w:adjustRightInd w:val="0"/>
        <w:snapToGrid w:val="0"/>
        <w:spacing w:line="360" w:lineRule="auto"/>
        <w:jc w:val="center"/>
        <w:rPr>
          <w:rFonts w:hint="eastAsia" w:ascii="宋体" w:hAnsi="宋体" w:eastAsia="宋体" w:cs="宋体"/>
          <w:snapToGrid w:val="0"/>
          <w:color w:val="000000"/>
          <w:sz w:val="30"/>
          <w:highlight w:val="none"/>
        </w:rPr>
      </w:pPr>
      <w:r>
        <w:rPr>
          <w:rFonts w:hint="eastAsia" w:ascii="宋体" w:hAnsi="宋体" w:eastAsia="宋体" w:cs="宋体"/>
          <w:b/>
          <w:snapToGrid w:val="0"/>
          <w:color w:val="000000"/>
          <w:sz w:val="30"/>
          <w:highlight w:val="none"/>
        </w:rPr>
        <w:t>二、招  标  文  件</w:t>
      </w:r>
    </w:p>
    <w:p w14:paraId="3B2846C1">
      <w:pPr>
        <w:adjustRightInd w:val="0"/>
        <w:snapToGrid w:val="0"/>
        <w:spacing w:line="360" w:lineRule="auto"/>
        <w:ind w:firstLine="567"/>
        <w:rPr>
          <w:rFonts w:hint="eastAsia" w:ascii="宋体" w:hAnsi="宋体" w:eastAsia="宋体" w:cs="宋体"/>
          <w:snapToGrid w:val="0"/>
          <w:color w:val="000000"/>
          <w:sz w:val="28"/>
          <w:highlight w:val="none"/>
        </w:rPr>
      </w:pPr>
      <w:r>
        <w:rPr>
          <w:rFonts w:hint="eastAsia" w:ascii="宋体" w:hAnsi="宋体" w:eastAsia="宋体" w:cs="宋体"/>
          <w:snapToGrid w:val="0"/>
          <w:color w:val="000000"/>
          <w:sz w:val="28"/>
          <w:highlight w:val="none"/>
          <w:lang w:eastAsia="zh-CN"/>
        </w:rPr>
        <w:t>第</w:t>
      </w:r>
      <w:r>
        <w:rPr>
          <w:rFonts w:hint="eastAsia" w:ascii="宋体" w:hAnsi="宋体" w:eastAsia="宋体" w:cs="宋体"/>
          <w:snapToGrid w:val="0"/>
          <w:color w:val="000000"/>
          <w:sz w:val="28"/>
          <w:highlight w:val="none"/>
          <w:lang w:val="en-US" w:eastAsia="zh-CN"/>
        </w:rPr>
        <w:t xml:space="preserve">4条 </w:t>
      </w:r>
      <w:r>
        <w:rPr>
          <w:rFonts w:hint="eastAsia" w:ascii="宋体" w:hAnsi="宋体" w:eastAsia="宋体" w:cs="宋体"/>
          <w:snapToGrid w:val="0"/>
          <w:color w:val="000000"/>
          <w:sz w:val="28"/>
          <w:highlight w:val="none"/>
        </w:rPr>
        <w:t>招标文件的组成</w:t>
      </w:r>
    </w:p>
    <w:p w14:paraId="389215A6">
      <w:pPr>
        <w:tabs>
          <w:tab w:val="left" w:pos="851"/>
        </w:tabs>
        <w:adjustRightInd w:val="0"/>
        <w:snapToGrid w:val="0"/>
        <w:spacing w:line="360" w:lineRule="auto"/>
        <w:ind w:firstLine="560" w:firstLineChars="200"/>
        <w:rPr>
          <w:rFonts w:hint="eastAsia" w:ascii="宋体" w:hAnsi="宋体" w:eastAsia="宋体" w:cs="宋体"/>
          <w:snapToGrid w:val="0"/>
          <w:color w:val="000000"/>
          <w:sz w:val="28"/>
          <w:highlight w:val="none"/>
        </w:rPr>
      </w:pPr>
      <w:r>
        <w:rPr>
          <w:rFonts w:hint="eastAsia" w:ascii="宋体" w:hAnsi="宋体" w:eastAsia="宋体" w:cs="宋体"/>
          <w:snapToGrid w:val="0"/>
          <w:color w:val="000000"/>
          <w:sz w:val="28"/>
          <w:highlight w:val="none"/>
          <w:lang w:val="en-US" w:eastAsia="zh-CN"/>
        </w:rPr>
        <w:t xml:space="preserve">4.1 </w:t>
      </w:r>
      <w:r>
        <w:rPr>
          <w:rFonts w:hint="eastAsia" w:ascii="宋体" w:hAnsi="宋体" w:eastAsia="宋体" w:cs="宋体"/>
          <w:snapToGrid w:val="0"/>
          <w:color w:val="000000"/>
          <w:sz w:val="28"/>
          <w:highlight w:val="none"/>
        </w:rPr>
        <w:t>招标文件包括本文件及所有按第（六）条发出的修改澄清通知。</w:t>
      </w:r>
    </w:p>
    <w:p w14:paraId="1CBF3575">
      <w:pPr>
        <w:tabs>
          <w:tab w:val="left" w:pos="851"/>
        </w:tabs>
        <w:adjustRightInd w:val="0"/>
        <w:snapToGrid w:val="0"/>
        <w:spacing w:line="360" w:lineRule="auto"/>
        <w:ind w:firstLine="560" w:firstLineChars="200"/>
        <w:rPr>
          <w:rFonts w:hint="eastAsia" w:ascii="宋体" w:hAnsi="宋体" w:eastAsia="宋体" w:cs="宋体"/>
          <w:snapToGrid w:val="0"/>
          <w:color w:val="000000"/>
          <w:sz w:val="28"/>
          <w:highlight w:val="none"/>
        </w:rPr>
      </w:pPr>
      <w:r>
        <w:rPr>
          <w:rFonts w:hint="eastAsia" w:ascii="宋体" w:hAnsi="宋体" w:eastAsia="宋体" w:cs="宋体"/>
          <w:snapToGrid w:val="0"/>
          <w:color w:val="000000"/>
          <w:sz w:val="28"/>
          <w:highlight w:val="none"/>
          <w:lang w:val="en-US" w:eastAsia="zh-CN"/>
        </w:rPr>
        <w:t xml:space="preserve">4.2 </w:t>
      </w:r>
      <w:r>
        <w:rPr>
          <w:rFonts w:hint="eastAsia" w:ascii="宋体" w:hAnsi="宋体" w:eastAsia="宋体" w:cs="宋体"/>
          <w:snapToGrid w:val="0"/>
          <w:color w:val="000000"/>
          <w:sz w:val="28"/>
          <w:highlight w:val="none"/>
        </w:rPr>
        <w:t>投标人应认真审阅招标文件所有的内容，如果投标人的投标文件不能实质性地响应招标文件要求，责任由投标人自负。</w:t>
      </w:r>
    </w:p>
    <w:p w14:paraId="1343330D">
      <w:pPr>
        <w:tabs>
          <w:tab w:val="left" w:pos="0"/>
          <w:tab w:val="left" w:pos="993"/>
          <w:tab w:val="left" w:pos="1134"/>
        </w:tabs>
        <w:adjustRightInd w:val="0"/>
        <w:snapToGrid w:val="0"/>
        <w:spacing w:line="360" w:lineRule="auto"/>
        <w:ind w:firstLine="560" w:firstLineChars="200"/>
        <w:rPr>
          <w:rFonts w:hint="eastAsia" w:ascii="宋体" w:hAnsi="宋体" w:eastAsia="宋体" w:cs="宋体"/>
          <w:snapToGrid w:val="0"/>
          <w:color w:val="000000"/>
          <w:sz w:val="28"/>
          <w:highlight w:val="none"/>
        </w:rPr>
      </w:pPr>
      <w:r>
        <w:rPr>
          <w:rFonts w:hint="eastAsia" w:ascii="宋体" w:hAnsi="宋体" w:eastAsia="宋体" w:cs="宋体"/>
          <w:snapToGrid w:val="0"/>
          <w:color w:val="000000"/>
          <w:sz w:val="28"/>
          <w:highlight w:val="none"/>
          <w:lang w:eastAsia="zh-CN"/>
        </w:rPr>
        <w:t>第</w:t>
      </w:r>
      <w:r>
        <w:rPr>
          <w:rFonts w:hint="eastAsia" w:ascii="宋体" w:hAnsi="宋体" w:eastAsia="宋体" w:cs="宋体"/>
          <w:snapToGrid w:val="0"/>
          <w:color w:val="000000"/>
          <w:sz w:val="28"/>
          <w:highlight w:val="none"/>
          <w:lang w:val="en-US" w:eastAsia="zh-CN"/>
        </w:rPr>
        <w:t>5</w:t>
      </w:r>
      <w:r>
        <w:rPr>
          <w:rFonts w:hint="eastAsia" w:ascii="宋体" w:hAnsi="宋体" w:eastAsia="宋体" w:cs="宋体"/>
          <w:snapToGrid w:val="0"/>
          <w:color w:val="000000"/>
          <w:sz w:val="28"/>
          <w:highlight w:val="none"/>
          <w:lang w:eastAsia="zh-CN"/>
        </w:rPr>
        <w:t>条</w:t>
      </w:r>
      <w:r>
        <w:rPr>
          <w:rFonts w:hint="eastAsia" w:ascii="宋体" w:hAnsi="宋体" w:eastAsia="宋体" w:cs="宋体"/>
          <w:snapToGrid w:val="0"/>
          <w:color w:val="000000"/>
          <w:sz w:val="28"/>
          <w:highlight w:val="none"/>
          <w:lang w:val="en-US" w:eastAsia="zh-CN"/>
        </w:rPr>
        <w:t xml:space="preserve"> </w:t>
      </w:r>
      <w:r>
        <w:rPr>
          <w:rFonts w:hint="eastAsia" w:ascii="宋体" w:hAnsi="宋体" w:eastAsia="宋体" w:cs="宋体"/>
          <w:snapToGrid w:val="0"/>
          <w:color w:val="000000"/>
          <w:sz w:val="28"/>
          <w:highlight w:val="none"/>
        </w:rPr>
        <w:t>勘察现场及答疑</w:t>
      </w:r>
    </w:p>
    <w:p w14:paraId="17A76C8D">
      <w:pPr>
        <w:numPr>
          <w:ilvl w:val="0"/>
          <w:numId w:val="0"/>
        </w:numPr>
        <w:tabs>
          <w:tab w:val="left" w:pos="0"/>
          <w:tab w:val="left" w:pos="1134"/>
        </w:tabs>
        <w:adjustRightInd w:val="0"/>
        <w:snapToGrid w:val="0"/>
        <w:spacing w:line="360" w:lineRule="auto"/>
        <w:ind w:left="567" w:firstLine="0"/>
        <w:rPr>
          <w:rFonts w:hint="eastAsia" w:ascii="宋体" w:hAnsi="宋体" w:eastAsia="宋体" w:cs="宋体"/>
          <w:snapToGrid w:val="0"/>
          <w:color w:val="000000"/>
          <w:sz w:val="28"/>
          <w:highlight w:val="none"/>
        </w:rPr>
      </w:pPr>
      <w:r>
        <w:rPr>
          <w:rFonts w:hint="eastAsia" w:ascii="宋体" w:hAnsi="宋体" w:eastAsia="宋体" w:cs="宋体"/>
          <w:snapToGrid w:val="0"/>
          <w:color w:val="000000"/>
          <w:sz w:val="28"/>
          <w:highlight w:val="none"/>
          <w:lang w:val="en-US" w:eastAsia="zh-CN"/>
        </w:rPr>
        <w:t xml:space="preserve">5.1 </w:t>
      </w:r>
      <w:r>
        <w:rPr>
          <w:rFonts w:hint="eastAsia" w:ascii="宋体" w:hAnsi="宋体" w:eastAsia="宋体" w:cs="宋体"/>
          <w:snapToGrid w:val="0"/>
          <w:color w:val="000000"/>
          <w:sz w:val="28"/>
          <w:highlight w:val="none"/>
        </w:rPr>
        <w:t>招标人不组织踏勘，投标人根据自身需要自行踏勘。</w:t>
      </w:r>
    </w:p>
    <w:p w14:paraId="72E8303D">
      <w:pPr>
        <w:tabs>
          <w:tab w:val="left" w:pos="0"/>
          <w:tab w:val="left" w:pos="993"/>
          <w:tab w:val="left" w:pos="1134"/>
        </w:tabs>
        <w:adjustRightInd w:val="0"/>
        <w:snapToGrid w:val="0"/>
        <w:spacing w:line="360" w:lineRule="auto"/>
        <w:ind w:firstLine="567"/>
        <w:rPr>
          <w:rFonts w:hint="eastAsia" w:ascii="宋体" w:hAnsi="宋体" w:eastAsia="宋体" w:cs="宋体"/>
          <w:snapToGrid w:val="0"/>
          <w:color w:val="000000"/>
          <w:sz w:val="28"/>
          <w:highlight w:val="none"/>
        </w:rPr>
      </w:pPr>
      <w:r>
        <w:rPr>
          <w:rFonts w:hint="eastAsia" w:ascii="宋体" w:hAnsi="宋体" w:eastAsia="宋体" w:cs="宋体"/>
          <w:snapToGrid w:val="0"/>
          <w:color w:val="000000"/>
          <w:sz w:val="28"/>
          <w:highlight w:val="none"/>
          <w:lang w:val="en-US" w:eastAsia="zh-CN"/>
        </w:rPr>
        <w:t xml:space="preserve">5.2 </w:t>
      </w:r>
      <w:r>
        <w:rPr>
          <w:rFonts w:hint="eastAsia" w:ascii="宋体" w:hAnsi="宋体" w:eastAsia="宋体" w:cs="宋体"/>
          <w:snapToGrid w:val="0"/>
          <w:color w:val="000000"/>
          <w:sz w:val="28"/>
          <w:highlight w:val="none"/>
        </w:rPr>
        <w:t>招标人向投标人提供的有关施工现场的资料和数据是招标人现有的能使投标人利用的资料。招标人对投标人由此而做出的推论、理解和结论概不负责。</w:t>
      </w:r>
    </w:p>
    <w:p w14:paraId="64AFA7FE">
      <w:pPr>
        <w:tabs>
          <w:tab w:val="left" w:pos="0"/>
          <w:tab w:val="left" w:pos="993"/>
          <w:tab w:val="left" w:pos="1134"/>
        </w:tabs>
        <w:adjustRightInd w:val="0"/>
        <w:snapToGrid w:val="0"/>
        <w:spacing w:line="360" w:lineRule="auto"/>
        <w:ind w:firstLine="567"/>
        <w:rPr>
          <w:rFonts w:hint="eastAsia" w:ascii="宋体" w:hAnsi="宋体" w:eastAsia="宋体" w:cs="宋体"/>
          <w:snapToGrid w:val="0"/>
          <w:color w:val="000000"/>
          <w:sz w:val="28"/>
          <w:highlight w:val="none"/>
        </w:rPr>
      </w:pPr>
      <w:r>
        <w:rPr>
          <w:rFonts w:hint="eastAsia" w:ascii="宋体" w:hAnsi="宋体" w:eastAsia="宋体" w:cs="宋体"/>
          <w:snapToGrid w:val="0"/>
          <w:color w:val="000000"/>
          <w:sz w:val="28"/>
          <w:highlight w:val="none"/>
          <w:lang w:val="en-US" w:eastAsia="zh-CN"/>
        </w:rPr>
        <w:t xml:space="preserve">第6条 </w:t>
      </w:r>
      <w:r>
        <w:rPr>
          <w:rFonts w:hint="eastAsia" w:ascii="宋体" w:hAnsi="宋体" w:eastAsia="宋体" w:cs="宋体"/>
          <w:snapToGrid w:val="0"/>
          <w:color w:val="000000"/>
          <w:sz w:val="28"/>
          <w:highlight w:val="none"/>
        </w:rPr>
        <w:t>招标文件的澄清</w:t>
      </w:r>
    </w:p>
    <w:p w14:paraId="36BD5D8A">
      <w:pPr>
        <w:tabs>
          <w:tab w:val="left" w:pos="0"/>
          <w:tab w:val="left" w:pos="1134"/>
        </w:tabs>
        <w:adjustRightInd w:val="0"/>
        <w:snapToGrid w:val="0"/>
        <w:spacing w:line="360" w:lineRule="auto"/>
        <w:ind w:firstLine="560" w:firstLineChars="200"/>
        <w:rPr>
          <w:rFonts w:hint="eastAsia" w:ascii="宋体" w:hAnsi="宋体" w:eastAsia="宋体" w:cs="宋体"/>
          <w:snapToGrid w:val="0"/>
          <w:color w:val="000000"/>
          <w:sz w:val="28"/>
          <w:highlight w:val="none"/>
        </w:rPr>
      </w:pPr>
      <w:r>
        <w:rPr>
          <w:rFonts w:hint="eastAsia" w:ascii="宋体" w:hAnsi="宋体" w:eastAsia="宋体" w:cs="宋体"/>
          <w:snapToGrid w:val="0"/>
          <w:color w:val="000000"/>
          <w:sz w:val="28"/>
          <w:highlight w:val="none"/>
          <w:lang w:val="en-US" w:eastAsia="zh-CN"/>
        </w:rPr>
        <w:t xml:space="preserve">6.1 </w:t>
      </w:r>
      <w:r>
        <w:rPr>
          <w:rFonts w:hint="eastAsia" w:ascii="宋体" w:hAnsi="宋体" w:eastAsia="宋体" w:cs="宋体"/>
          <w:snapToGrid w:val="0"/>
          <w:color w:val="000000"/>
          <w:sz w:val="28"/>
          <w:highlight w:val="none"/>
        </w:rPr>
        <w:t>投标人在收到招标文件和踏勘现场后，若有疑问需要澄清，应于收到招标文件后</w:t>
      </w:r>
      <w:r>
        <w:rPr>
          <w:rFonts w:hint="eastAsia" w:ascii="宋体" w:hAnsi="宋体" w:eastAsia="宋体" w:cs="宋体"/>
          <w:b/>
          <w:bCs/>
          <w:iCs/>
          <w:snapToGrid w:val="0"/>
          <w:color w:val="000000"/>
          <w:sz w:val="28"/>
          <w:highlight w:val="none"/>
          <w:u w:val="single"/>
        </w:rPr>
        <w:t>1</w:t>
      </w:r>
      <w:r>
        <w:rPr>
          <w:rFonts w:hint="eastAsia" w:ascii="宋体" w:hAnsi="宋体" w:eastAsia="宋体" w:cs="宋体"/>
          <w:snapToGrid w:val="0"/>
          <w:color w:val="000000"/>
          <w:sz w:val="28"/>
          <w:highlight w:val="none"/>
        </w:rPr>
        <w:t>日内以书面形式（包括书面文字、传真、电子邮件等）向招标人提出，招标人将以书面形式予以解答。</w:t>
      </w:r>
    </w:p>
    <w:p w14:paraId="6B11050B">
      <w:pPr>
        <w:tabs>
          <w:tab w:val="left" w:pos="0"/>
          <w:tab w:val="left" w:pos="993"/>
          <w:tab w:val="left" w:pos="1134"/>
        </w:tabs>
        <w:adjustRightInd w:val="0"/>
        <w:snapToGrid w:val="0"/>
        <w:spacing w:line="360" w:lineRule="auto"/>
        <w:ind w:firstLine="567"/>
        <w:rPr>
          <w:rFonts w:hint="eastAsia" w:ascii="宋体" w:hAnsi="宋体" w:eastAsia="宋体" w:cs="宋体"/>
          <w:snapToGrid w:val="0"/>
          <w:color w:val="000000"/>
          <w:sz w:val="28"/>
          <w:highlight w:val="none"/>
        </w:rPr>
      </w:pPr>
      <w:r>
        <w:rPr>
          <w:rFonts w:hint="eastAsia" w:ascii="宋体" w:hAnsi="宋体" w:eastAsia="宋体" w:cs="宋体"/>
          <w:snapToGrid w:val="0"/>
          <w:color w:val="000000"/>
          <w:sz w:val="28"/>
          <w:highlight w:val="none"/>
          <w:lang w:val="en-US" w:eastAsia="zh-CN"/>
        </w:rPr>
        <w:t xml:space="preserve">6.2 </w:t>
      </w:r>
      <w:r>
        <w:rPr>
          <w:rFonts w:hint="eastAsia" w:ascii="宋体" w:hAnsi="宋体" w:eastAsia="宋体" w:cs="宋体"/>
          <w:snapToGrid w:val="0"/>
          <w:color w:val="000000"/>
          <w:sz w:val="28"/>
          <w:highlight w:val="none"/>
        </w:rPr>
        <w:t>所有问题的解答，将在</w:t>
      </w:r>
      <w:r>
        <w:rPr>
          <w:rFonts w:hint="eastAsia" w:ascii="宋体" w:hAnsi="宋体" w:eastAsia="宋体" w:cs="宋体"/>
          <w:b/>
          <w:snapToGrid w:val="0"/>
          <w:color w:val="000000"/>
          <w:sz w:val="28"/>
          <w:highlight w:val="none"/>
          <w:u w:val="single"/>
        </w:rPr>
        <w:t>1</w:t>
      </w:r>
      <w:r>
        <w:rPr>
          <w:rFonts w:hint="eastAsia" w:ascii="宋体" w:hAnsi="宋体" w:eastAsia="宋体" w:cs="宋体"/>
          <w:snapToGrid w:val="0"/>
          <w:color w:val="000000"/>
          <w:sz w:val="28"/>
          <w:highlight w:val="none"/>
        </w:rPr>
        <w:t>日内书面提供给所有投标人。由此而产生的对招标文件内容的修改，以修改通知的方式发出。如这些资料具有合同意义将并入将来的合同文件中。</w:t>
      </w:r>
    </w:p>
    <w:p w14:paraId="01892978">
      <w:pPr>
        <w:tabs>
          <w:tab w:val="left" w:pos="0"/>
          <w:tab w:val="left" w:pos="993"/>
          <w:tab w:val="left" w:pos="1134"/>
        </w:tabs>
        <w:adjustRightInd w:val="0"/>
        <w:snapToGrid w:val="0"/>
        <w:spacing w:line="360" w:lineRule="auto"/>
        <w:ind w:firstLine="567"/>
        <w:rPr>
          <w:rFonts w:hint="eastAsia" w:ascii="宋体" w:hAnsi="宋体" w:eastAsia="宋体" w:cs="宋体"/>
          <w:snapToGrid w:val="0"/>
          <w:color w:val="000000"/>
          <w:sz w:val="30"/>
          <w:highlight w:val="none"/>
        </w:rPr>
      </w:pPr>
      <w:r>
        <w:rPr>
          <w:rFonts w:hint="eastAsia" w:ascii="宋体" w:hAnsi="宋体" w:eastAsia="宋体" w:cs="宋体"/>
          <w:snapToGrid w:val="0"/>
          <w:color w:val="000000"/>
          <w:sz w:val="28"/>
          <w:highlight w:val="none"/>
          <w:lang w:eastAsia="zh-CN"/>
        </w:rPr>
        <w:t>第</w:t>
      </w:r>
      <w:r>
        <w:rPr>
          <w:rFonts w:hint="eastAsia" w:ascii="宋体" w:hAnsi="宋体" w:eastAsia="宋体" w:cs="宋体"/>
          <w:snapToGrid w:val="0"/>
          <w:color w:val="000000"/>
          <w:sz w:val="28"/>
          <w:highlight w:val="none"/>
          <w:lang w:val="en-US" w:eastAsia="zh-CN"/>
        </w:rPr>
        <w:t xml:space="preserve">7条 </w:t>
      </w:r>
      <w:r>
        <w:rPr>
          <w:rFonts w:hint="eastAsia" w:ascii="宋体" w:hAnsi="宋体" w:eastAsia="宋体" w:cs="宋体"/>
          <w:snapToGrid w:val="0"/>
          <w:color w:val="000000"/>
          <w:sz w:val="28"/>
          <w:highlight w:val="none"/>
        </w:rPr>
        <w:t>招标文件的修改</w:t>
      </w:r>
    </w:p>
    <w:p w14:paraId="183AE141">
      <w:pPr>
        <w:tabs>
          <w:tab w:val="left" w:pos="0"/>
          <w:tab w:val="left" w:pos="1134"/>
        </w:tabs>
        <w:adjustRightInd w:val="0"/>
        <w:snapToGrid w:val="0"/>
        <w:spacing w:line="360" w:lineRule="auto"/>
        <w:ind w:firstLine="560" w:firstLineChars="200"/>
        <w:rPr>
          <w:rFonts w:hint="eastAsia" w:ascii="宋体" w:hAnsi="宋体" w:eastAsia="宋体" w:cs="宋体"/>
          <w:snapToGrid w:val="0"/>
          <w:color w:val="000000"/>
          <w:sz w:val="30"/>
          <w:highlight w:val="none"/>
        </w:rPr>
      </w:pPr>
      <w:r>
        <w:rPr>
          <w:rFonts w:hint="eastAsia" w:ascii="宋体" w:hAnsi="宋体" w:eastAsia="宋体" w:cs="宋体"/>
          <w:snapToGrid w:val="0"/>
          <w:color w:val="000000"/>
          <w:sz w:val="28"/>
          <w:highlight w:val="none"/>
          <w:lang w:val="en-US" w:eastAsia="zh-CN"/>
        </w:rPr>
        <w:t xml:space="preserve">7.1 </w:t>
      </w:r>
      <w:r>
        <w:rPr>
          <w:rFonts w:hint="eastAsia" w:ascii="宋体" w:hAnsi="宋体" w:eastAsia="宋体" w:cs="宋体"/>
          <w:snapToGrid w:val="0"/>
          <w:color w:val="000000"/>
          <w:sz w:val="28"/>
          <w:highlight w:val="none"/>
        </w:rPr>
        <w:t>在投标截止日期1天前，招标人都可能会以书面通知的方式修改招标文件。修改通知作为招标文件的组成部分，对投标人起同等约束作用。</w:t>
      </w:r>
    </w:p>
    <w:p w14:paraId="63441A8C">
      <w:pPr>
        <w:tabs>
          <w:tab w:val="left" w:pos="0"/>
          <w:tab w:val="left" w:pos="1134"/>
        </w:tabs>
        <w:adjustRightInd w:val="0"/>
        <w:snapToGrid w:val="0"/>
        <w:spacing w:line="360" w:lineRule="auto"/>
        <w:ind w:firstLine="560" w:firstLineChars="200"/>
        <w:rPr>
          <w:rFonts w:hint="eastAsia" w:ascii="宋体" w:hAnsi="宋体" w:eastAsia="宋体" w:cs="宋体"/>
          <w:snapToGrid w:val="0"/>
          <w:color w:val="000000"/>
          <w:sz w:val="30"/>
          <w:highlight w:val="none"/>
        </w:rPr>
      </w:pPr>
      <w:r>
        <w:rPr>
          <w:rFonts w:hint="eastAsia" w:ascii="宋体" w:hAnsi="宋体" w:eastAsia="宋体" w:cs="宋体"/>
          <w:snapToGrid w:val="0"/>
          <w:color w:val="000000"/>
          <w:sz w:val="28"/>
          <w:highlight w:val="none"/>
          <w:lang w:val="en-US" w:eastAsia="zh-CN"/>
        </w:rPr>
        <w:t xml:space="preserve">7.2 </w:t>
      </w:r>
      <w:r>
        <w:rPr>
          <w:rFonts w:hint="eastAsia" w:ascii="宋体" w:hAnsi="宋体" w:eastAsia="宋体" w:cs="宋体"/>
          <w:snapToGrid w:val="0"/>
          <w:color w:val="000000"/>
          <w:sz w:val="28"/>
          <w:highlight w:val="none"/>
        </w:rPr>
        <w:t>为使投标人在编制投标文件时把修改通知内容考虑进去，招标人可以酌情延长递交投标文件的截止日期。具体时间将在修改通知中写明。</w:t>
      </w:r>
    </w:p>
    <w:p w14:paraId="5B787FFD">
      <w:pPr>
        <w:keepNext w:val="0"/>
        <w:keepLines w:val="0"/>
        <w:pageBreakBefore w:val="0"/>
        <w:widowControl w:val="0"/>
        <w:tabs>
          <w:tab w:val="left" w:pos="0"/>
          <w:tab w:val="left" w:pos="993"/>
          <w:tab w:val="left" w:pos="1134"/>
        </w:tabs>
        <w:kinsoku/>
        <w:wordWrap/>
        <w:overflowPunct/>
        <w:topLinePunct w:val="0"/>
        <w:autoSpaceDE/>
        <w:autoSpaceDN/>
        <w:bidi w:val="0"/>
        <w:adjustRightInd w:val="0"/>
        <w:snapToGrid w:val="0"/>
        <w:spacing w:line="360" w:lineRule="auto"/>
        <w:ind w:firstLine="560" w:firstLineChars="200"/>
        <w:jc w:val="left"/>
        <w:textAlignment w:val="auto"/>
        <w:rPr>
          <w:rFonts w:hint="eastAsia" w:ascii="宋体" w:hAnsi="宋体" w:eastAsia="宋体" w:cs="宋体"/>
          <w:snapToGrid w:val="0"/>
          <w:color w:val="000000"/>
          <w:sz w:val="28"/>
          <w:highlight w:val="none"/>
        </w:rPr>
      </w:pPr>
      <w:r>
        <w:rPr>
          <w:rFonts w:hint="eastAsia" w:ascii="宋体" w:hAnsi="宋体" w:eastAsia="宋体" w:cs="宋体"/>
          <w:snapToGrid w:val="0"/>
          <w:color w:val="000000"/>
          <w:sz w:val="28"/>
          <w:highlight w:val="none"/>
          <w:lang w:val="en-US" w:eastAsia="zh-CN"/>
        </w:rPr>
        <w:t xml:space="preserve">7.3 </w:t>
      </w:r>
      <w:r>
        <w:rPr>
          <w:rFonts w:hint="eastAsia" w:ascii="宋体" w:hAnsi="宋体" w:eastAsia="宋体" w:cs="宋体"/>
          <w:snapToGrid w:val="0"/>
          <w:color w:val="000000"/>
          <w:sz w:val="28"/>
          <w:highlight w:val="none"/>
        </w:rPr>
        <w:t>当招标文件、修改通知内容相互矛盾时，以最后发出的通知为准。</w:t>
      </w:r>
    </w:p>
    <w:p w14:paraId="76F3DEE3">
      <w:pPr>
        <w:tabs>
          <w:tab w:val="left" w:pos="0"/>
          <w:tab w:val="left" w:pos="993"/>
          <w:tab w:val="left" w:pos="1134"/>
        </w:tabs>
        <w:adjustRightInd w:val="0"/>
        <w:snapToGrid w:val="0"/>
        <w:spacing w:line="360" w:lineRule="auto"/>
        <w:jc w:val="center"/>
        <w:rPr>
          <w:rFonts w:hint="eastAsia" w:ascii="宋体" w:hAnsi="宋体" w:eastAsia="宋体" w:cs="宋体"/>
          <w:snapToGrid w:val="0"/>
          <w:color w:val="000000"/>
          <w:szCs w:val="20"/>
          <w:highlight w:val="none"/>
        </w:rPr>
      </w:pPr>
      <w:r>
        <w:rPr>
          <w:rFonts w:hint="eastAsia" w:ascii="宋体" w:hAnsi="宋体" w:eastAsia="宋体" w:cs="宋体"/>
          <w:b/>
          <w:snapToGrid w:val="0"/>
          <w:color w:val="000000"/>
          <w:sz w:val="30"/>
          <w:highlight w:val="none"/>
        </w:rPr>
        <w:t>三、投  标  报  价</w:t>
      </w:r>
    </w:p>
    <w:p w14:paraId="41C22404">
      <w:pPr>
        <w:numPr>
          <w:ilvl w:val="0"/>
          <w:numId w:val="0"/>
        </w:numPr>
        <w:tabs>
          <w:tab w:val="left" w:pos="0"/>
          <w:tab w:val="left" w:pos="993"/>
          <w:tab w:val="left" w:pos="1134"/>
        </w:tabs>
        <w:adjustRightInd w:val="0"/>
        <w:snapToGrid w:val="0"/>
        <w:spacing w:line="360" w:lineRule="auto"/>
        <w:ind w:left="567" w:leftChars="0"/>
        <w:rPr>
          <w:rFonts w:hint="eastAsia" w:ascii="宋体" w:hAnsi="宋体" w:eastAsia="宋体" w:cs="宋体"/>
          <w:snapToGrid w:val="0"/>
          <w:color w:val="000000"/>
          <w:sz w:val="28"/>
          <w:highlight w:val="none"/>
        </w:rPr>
      </w:pPr>
      <w:r>
        <w:rPr>
          <w:rFonts w:hint="eastAsia" w:ascii="宋体" w:hAnsi="宋体" w:eastAsia="宋体" w:cs="宋体"/>
          <w:snapToGrid w:val="0"/>
          <w:color w:val="000000"/>
          <w:sz w:val="28"/>
          <w:highlight w:val="none"/>
          <w:lang w:eastAsia="zh-CN"/>
        </w:rPr>
        <w:t>第</w:t>
      </w:r>
      <w:r>
        <w:rPr>
          <w:rFonts w:hint="eastAsia" w:ascii="宋体" w:hAnsi="宋体" w:eastAsia="宋体" w:cs="宋体"/>
          <w:snapToGrid w:val="0"/>
          <w:color w:val="000000"/>
          <w:sz w:val="28"/>
          <w:highlight w:val="none"/>
          <w:lang w:val="en-US" w:eastAsia="zh-CN"/>
        </w:rPr>
        <w:t xml:space="preserve">8条 </w:t>
      </w:r>
      <w:r>
        <w:rPr>
          <w:rFonts w:hint="eastAsia" w:ascii="宋体" w:hAnsi="宋体" w:eastAsia="宋体" w:cs="宋体"/>
          <w:snapToGrid w:val="0"/>
          <w:color w:val="000000"/>
          <w:sz w:val="28"/>
          <w:highlight w:val="none"/>
        </w:rPr>
        <w:t>投标报价</w:t>
      </w:r>
    </w:p>
    <w:p w14:paraId="0D281D08">
      <w:pPr>
        <w:tabs>
          <w:tab w:val="left" w:pos="0"/>
          <w:tab w:val="left" w:pos="1134"/>
        </w:tabs>
        <w:adjustRightInd w:val="0"/>
        <w:snapToGrid w:val="0"/>
        <w:spacing w:line="360" w:lineRule="auto"/>
        <w:ind w:firstLine="560" w:firstLineChars="200"/>
        <w:rPr>
          <w:rFonts w:hint="eastAsia" w:ascii="宋体" w:hAnsi="宋体" w:eastAsia="宋体" w:cs="宋体"/>
          <w:snapToGrid w:val="0"/>
          <w:color w:val="000000"/>
          <w:sz w:val="28"/>
          <w:highlight w:val="none"/>
        </w:rPr>
      </w:pPr>
      <w:r>
        <w:rPr>
          <w:rFonts w:hint="eastAsia" w:ascii="宋体" w:hAnsi="宋体" w:eastAsia="宋体" w:cs="宋体"/>
          <w:snapToGrid w:val="0"/>
          <w:color w:val="000000"/>
          <w:sz w:val="28"/>
          <w:highlight w:val="none"/>
          <w:lang w:val="en-US" w:eastAsia="zh-CN"/>
        </w:rPr>
        <w:t xml:space="preserve">8.1 </w:t>
      </w:r>
      <w:r>
        <w:rPr>
          <w:rFonts w:hint="eastAsia" w:ascii="宋体" w:hAnsi="宋体" w:eastAsia="宋体" w:cs="宋体"/>
          <w:snapToGrid w:val="0"/>
          <w:color w:val="000000"/>
          <w:sz w:val="28"/>
          <w:highlight w:val="none"/>
        </w:rPr>
        <w:t>投标报价应是招标文件所确定的招标范围内的全部工作内容的价格体现。其应包括</w:t>
      </w:r>
      <w:r>
        <w:rPr>
          <w:rFonts w:hint="eastAsia" w:ascii="宋体" w:hAnsi="宋体" w:eastAsia="宋体" w:cs="宋体"/>
          <w:b w:val="0"/>
          <w:bCs w:val="0"/>
          <w:snapToGrid w:val="0"/>
          <w:color w:val="000000"/>
          <w:sz w:val="28"/>
          <w:highlight w:val="none"/>
        </w:rPr>
        <w:t>施工穿管、预埋件</w:t>
      </w:r>
      <w:r>
        <w:rPr>
          <w:rFonts w:hint="eastAsia" w:ascii="宋体" w:hAnsi="宋体" w:eastAsia="宋体" w:cs="宋体"/>
          <w:b w:val="0"/>
          <w:bCs w:val="0"/>
          <w:snapToGrid w:val="0"/>
          <w:color w:val="000000"/>
          <w:sz w:val="28"/>
          <w:highlight w:val="none"/>
          <w:lang w:eastAsia="zh-CN"/>
        </w:rPr>
        <w:t>、</w:t>
      </w:r>
      <w:r>
        <w:rPr>
          <w:rFonts w:hint="eastAsia" w:ascii="宋体" w:hAnsi="宋体" w:eastAsia="宋体" w:cs="宋体"/>
          <w:snapToGrid w:val="0"/>
          <w:color w:val="000000"/>
          <w:sz w:val="28"/>
          <w:highlight w:val="none"/>
        </w:rPr>
        <w:t>设备、劳务、管理、材料、安装、维护、利润</w:t>
      </w:r>
      <w:r>
        <w:rPr>
          <w:rFonts w:hint="eastAsia" w:ascii="宋体" w:hAnsi="宋体" w:eastAsia="宋体" w:cs="宋体"/>
          <w:snapToGrid w:val="0"/>
          <w:color w:val="000000"/>
          <w:sz w:val="28"/>
          <w:highlight w:val="none"/>
          <w:lang w:eastAsia="zh-CN"/>
        </w:rPr>
        <w:t>、</w:t>
      </w:r>
      <w:r>
        <w:rPr>
          <w:rFonts w:hint="eastAsia" w:ascii="宋体" w:hAnsi="宋体" w:eastAsia="宋体" w:cs="宋体"/>
          <w:snapToGrid w:val="0"/>
          <w:color w:val="000000"/>
          <w:sz w:val="28"/>
          <w:highlight w:val="none"/>
        </w:rPr>
        <w:t>税金</w:t>
      </w:r>
      <w:r>
        <w:rPr>
          <w:rFonts w:hint="eastAsia" w:ascii="宋体" w:hAnsi="宋体" w:eastAsia="宋体" w:cs="宋体"/>
          <w:snapToGrid w:val="0"/>
          <w:color w:val="000000"/>
          <w:sz w:val="28"/>
          <w:highlight w:val="none"/>
          <w:lang w:eastAsia="zh-CN"/>
        </w:rPr>
        <w:t>、</w:t>
      </w:r>
      <w:r>
        <w:rPr>
          <w:rFonts w:hint="eastAsia" w:ascii="宋体" w:hAnsi="宋体" w:eastAsia="宋体" w:cs="宋体"/>
          <w:snapToGrid w:val="0"/>
          <w:color w:val="000000"/>
          <w:sz w:val="28"/>
          <w:highlight w:val="none"/>
        </w:rPr>
        <w:t>政策性文件规定的各项应有费用</w:t>
      </w:r>
      <w:r>
        <w:rPr>
          <w:rFonts w:hint="eastAsia" w:ascii="宋体" w:hAnsi="宋体" w:eastAsia="宋体" w:cs="宋体"/>
          <w:snapToGrid w:val="0"/>
          <w:color w:val="000000"/>
          <w:sz w:val="28"/>
          <w:highlight w:val="none"/>
          <w:lang w:val="en-US" w:eastAsia="zh-CN"/>
        </w:rPr>
        <w:t>及完成此项工作所需的措施费用</w:t>
      </w:r>
      <w:r>
        <w:rPr>
          <w:rFonts w:hint="eastAsia" w:ascii="宋体" w:hAnsi="宋体" w:eastAsia="宋体" w:cs="宋体"/>
          <w:snapToGrid w:val="0"/>
          <w:color w:val="000000"/>
          <w:sz w:val="28"/>
          <w:highlight w:val="none"/>
        </w:rPr>
        <w:t>。</w:t>
      </w:r>
    </w:p>
    <w:p w14:paraId="5CDBF3C4">
      <w:pPr>
        <w:numPr>
          <w:ilvl w:val="0"/>
          <w:numId w:val="0"/>
        </w:numPr>
        <w:tabs>
          <w:tab w:val="left" w:pos="0"/>
          <w:tab w:val="left" w:pos="1134"/>
        </w:tabs>
        <w:adjustRightInd w:val="0"/>
        <w:snapToGrid w:val="0"/>
        <w:spacing w:line="360" w:lineRule="auto"/>
        <w:ind w:firstLine="560" w:firstLineChars="200"/>
        <w:rPr>
          <w:rFonts w:hint="eastAsia" w:ascii="宋体" w:hAnsi="宋体" w:eastAsia="宋体" w:cs="宋体"/>
          <w:snapToGrid w:val="0"/>
          <w:color w:val="000000"/>
          <w:sz w:val="28"/>
          <w:highlight w:val="none"/>
        </w:rPr>
      </w:pPr>
      <w:r>
        <w:rPr>
          <w:rFonts w:hint="eastAsia" w:ascii="宋体" w:hAnsi="宋体" w:eastAsia="宋体" w:cs="宋体"/>
          <w:snapToGrid w:val="0"/>
          <w:color w:val="000000"/>
          <w:sz w:val="28"/>
          <w:highlight w:val="none"/>
          <w:lang w:val="en-US" w:eastAsia="zh-CN"/>
        </w:rPr>
        <w:t xml:space="preserve">8.2 </w:t>
      </w:r>
      <w:r>
        <w:rPr>
          <w:rFonts w:hint="eastAsia" w:ascii="宋体" w:hAnsi="宋体" w:eastAsia="宋体" w:cs="宋体"/>
          <w:snapToGrid w:val="0"/>
          <w:color w:val="000000"/>
          <w:sz w:val="28"/>
          <w:highlight w:val="none"/>
        </w:rPr>
        <w:t>投标报价方式：本工程采用</w:t>
      </w:r>
      <w:r>
        <w:rPr>
          <w:rFonts w:hint="eastAsia" w:ascii="宋体" w:hAnsi="宋体" w:eastAsia="宋体" w:cs="宋体"/>
          <w:snapToGrid w:val="0"/>
          <w:color w:val="000000"/>
          <w:sz w:val="28"/>
          <w:highlight w:val="none"/>
          <w:u w:val="single"/>
          <w:lang w:val="en-US" w:eastAsia="zh-CN"/>
        </w:rPr>
        <w:t xml:space="preserve"> 固定单价 </w:t>
      </w:r>
      <w:r>
        <w:rPr>
          <w:rFonts w:hint="eastAsia" w:ascii="宋体" w:hAnsi="宋体" w:eastAsia="宋体" w:cs="宋体"/>
          <w:snapToGrid w:val="0"/>
          <w:color w:val="000000"/>
          <w:sz w:val="28"/>
          <w:highlight w:val="none"/>
        </w:rPr>
        <w:t>报价。投标人应</w:t>
      </w:r>
      <w:r>
        <w:rPr>
          <w:rFonts w:hint="eastAsia" w:ascii="宋体" w:hAnsi="宋体" w:eastAsia="宋体" w:cs="宋体"/>
          <w:snapToGrid w:val="0"/>
          <w:color w:val="000000"/>
          <w:sz w:val="28"/>
          <w:highlight w:val="none"/>
          <w:lang w:val="en-US" w:eastAsia="zh-CN"/>
        </w:rPr>
        <w:t>根据自身实力、施工经验、现场环境以及招标文件的要求，</w:t>
      </w:r>
      <w:r>
        <w:rPr>
          <w:rFonts w:hint="eastAsia" w:ascii="宋体" w:hAnsi="宋体" w:eastAsia="宋体" w:cs="宋体"/>
          <w:snapToGrid w:val="0"/>
          <w:color w:val="000000"/>
          <w:sz w:val="28"/>
          <w:highlight w:val="none"/>
        </w:rPr>
        <w:t>充分考虑现场施工期间各类建材的市场风险、政策性调整，</w:t>
      </w:r>
      <w:r>
        <w:rPr>
          <w:rFonts w:hint="eastAsia" w:ascii="宋体" w:hAnsi="宋体" w:eastAsia="宋体" w:cs="宋体"/>
          <w:snapToGrid w:val="0"/>
          <w:color w:val="000000"/>
          <w:sz w:val="28"/>
          <w:highlight w:val="none"/>
          <w:lang w:val="en-US" w:eastAsia="zh-CN"/>
        </w:rPr>
        <w:t>交通疏导、管线保护、迁移费用、矛盾协调</w:t>
      </w:r>
      <w:r>
        <w:rPr>
          <w:rFonts w:hint="eastAsia" w:ascii="宋体" w:hAnsi="宋体" w:eastAsia="宋体" w:cs="宋体"/>
          <w:snapToGrid w:val="0"/>
          <w:color w:val="000000"/>
          <w:sz w:val="28"/>
          <w:highlight w:val="none"/>
          <w:lang w:eastAsia="zh-CN"/>
        </w:rPr>
        <w:t>，</w:t>
      </w:r>
      <w:r>
        <w:rPr>
          <w:rFonts w:hint="eastAsia" w:ascii="宋体" w:hAnsi="宋体" w:eastAsia="宋体" w:cs="宋体"/>
          <w:snapToGrid w:val="0"/>
          <w:color w:val="000000"/>
          <w:sz w:val="28"/>
          <w:highlight w:val="none"/>
        </w:rPr>
        <w:t>确定风险系数；因天气、地形、地质等自然条件变化，采用的临时措施；招标文件要求工程创优和缩短工期等因素计入总报价，</w:t>
      </w:r>
      <w:r>
        <w:rPr>
          <w:rFonts w:hint="eastAsia" w:ascii="宋体" w:hAnsi="宋体" w:eastAsia="宋体" w:cs="宋体"/>
          <w:snapToGrid w:val="0"/>
          <w:color w:val="000000"/>
          <w:sz w:val="28"/>
          <w:highlight w:val="none"/>
          <w:lang w:val="en-US" w:eastAsia="zh-CN"/>
        </w:rPr>
        <w:t>报价组成包含人工费、机械费、材料费等，各项费用均为全费用价格(包含规费及税金等)，</w:t>
      </w:r>
      <w:r>
        <w:rPr>
          <w:rFonts w:hint="eastAsia" w:ascii="宋体" w:hAnsi="宋体" w:eastAsia="宋体" w:cs="宋体"/>
          <w:snapToGrid w:val="0"/>
          <w:color w:val="000000"/>
          <w:sz w:val="28"/>
          <w:highlight w:val="none"/>
        </w:rPr>
        <w:t>今后不作调整，设计变更和招标人要求变更的内容除外。</w:t>
      </w:r>
    </w:p>
    <w:p w14:paraId="17A1E7AE">
      <w:pPr>
        <w:tabs>
          <w:tab w:val="left" w:pos="0"/>
          <w:tab w:val="left" w:pos="1134"/>
        </w:tabs>
        <w:adjustRightInd w:val="0"/>
        <w:snapToGrid w:val="0"/>
        <w:spacing w:line="360" w:lineRule="auto"/>
        <w:jc w:val="center"/>
        <w:rPr>
          <w:rFonts w:hint="eastAsia" w:ascii="宋体" w:hAnsi="宋体" w:cs="宋体"/>
          <w:snapToGrid w:val="0"/>
          <w:color w:val="000000"/>
          <w:szCs w:val="20"/>
          <w:highlight w:val="none"/>
        </w:rPr>
      </w:pPr>
      <w:r>
        <w:rPr>
          <w:rFonts w:hint="eastAsia" w:ascii="宋体" w:hAnsi="宋体" w:cs="宋体"/>
          <w:b/>
          <w:snapToGrid w:val="0"/>
          <w:color w:val="000000"/>
          <w:sz w:val="30"/>
          <w:highlight w:val="none"/>
        </w:rPr>
        <w:t>四、投标文件的编制</w:t>
      </w:r>
    </w:p>
    <w:p w14:paraId="68AD7710">
      <w:pPr>
        <w:tabs>
          <w:tab w:val="left" w:pos="0"/>
          <w:tab w:val="left" w:pos="993"/>
          <w:tab w:val="left" w:pos="1134"/>
        </w:tabs>
        <w:adjustRightInd w:val="0"/>
        <w:snapToGrid w:val="0"/>
        <w:spacing w:line="360" w:lineRule="auto"/>
        <w:ind w:firstLine="560" w:firstLineChars="200"/>
        <w:rPr>
          <w:rFonts w:hint="eastAsia" w:ascii="宋体" w:hAnsi="宋体" w:cs="宋体"/>
          <w:snapToGrid w:val="0"/>
          <w:color w:val="000000"/>
          <w:sz w:val="28"/>
          <w:highlight w:val="none"/>
        </w:rPr>
      </w:pPr>
      <w:r>
        <w:rPr>
          <w:rFonts w:hint="eastAsia" w:ascii="宋体" w:hAnsi="宋体" w:cs="宋体"/>
          <w:snapToGrid w:val="0"/>
          <w:color w:val="000000"/>
          <w:sz w:val="28"/>
          <w:highlight w:val="none"/>
          <w:lang w:eastAsia="zh-CN"/>
        </w:rPr>
        <w:t>第</w:t>
      </w:r>
      <w:r>
        <w:rPr>
          <w:rFonts w:hint="eastAsia" w:ascii="宋体" w:hAnsi="宋体" w:cs="宋体"/>
          <w:snapToGrid w:val="0"/>
          <w:color w:val="000000"/>
          <w:sz w:val="28"/>
          <w:highlight w:val="none"/>
          <w:lang w:val="en-US" w:eastAsia="zh-CN"/>
        </w:rPr>
        <w:t xml:space="preserve">9条 </w:t>
      </w:r>
      <w:r>
        <w:rPr>
          <w:rFonts w:hint="eastAsia" w:ascii="宋体" w:hAnsi="宋体" w:cs="宋体"/>
          <w:snapToGrid w:val="0"/>
          <w:color w:val="000000"/>
          <w:sz w:val="28"/>
          <w:highlight w:val="none"/>
        </w:rPr>
        <w:t>投标文件的组成</w:t>
      </w:r>
    </w:p>
    <w:p w14:paraId="1F0C4089">
      <w:pPr>
        <w:tabs>
          <w:tab w:val="left" w:pos="0"/>
          <w:tab w:val="left" w:pos="993"/>
          <w:tab w:val="left" w:pos="1134"/>
        </w:tabs>
        <w:adjustRightInd w:val="0"/>
        <w:snapToGrid w:val="0"/>
        <w:spacing w:line="360" w:lineRule="auto"/>
        <w:ind w:firstLine="560" w:firstLineChars="200"/>
        <w:rPr>
          <w:rFonts w:hint="eastAsia" w:ascii="宋体" w:hAnsi="宋体" w:eastAsia="宋体" w:cs="宋体"/>
          <w:snapToGrid w:val="0"/>
          <w:color w:val="000000"/>
          <w:sz w:val="28"/>
          <w:highlight w:val="none"/>
        </w:rPr>
      </w:pPr>
      <w:r>
        <w:rPr>
          <w:rFonts w:hint="eastAsia" w:ascii="宋体" w:hAnsi="宋体" w:eastAsia="宋体" w:cs="宋体"/>
          <w:b w:val="0"/>
          <w:bCs w:val="0"/>
          <w:snapToGrid w:val="0"/>
          <w:color w:val="000000"/>
          <w:sz w:val="28"/>
          <w:highlight w:val="none"/>
          <w:lang w:val="en-US" w:eastAsia="zh-CN"/>
        </w:rPr>
        <w:t xml:space="preserve">9.1 </w:t>
      </w:r>
      <w:r>
        <w:rPr>
          <w:rFonts w:hint="eastAsia" w:ascii="宋体" w:hAnsi="宋体" w:eastAsia="宋体" w:cs="宋体"/>
          <w:snapToGrid w:val="0"/>
          <w:color w:val="000000"/>
          <w:sz w:val="28"/>
          <w:highlight w:val="none"/>
        </w:rPr>
        <w:t>投标人的投标文件应包括下列内容</w:t>
      </w:r>
    </w:p>
    <w:p w14:paraId="292A0C95">
      <w:pPr>
        <w:tabs>
          <w:tab w:val="left" w:pos="0"/>
          <w:tab w:val="left" w:pos="993"/>
          <w:tab w:val="left" w:pos="1134"/>
        </w:tabs>
        <w:adjustRightInd w:val="0"/>
        <w:snapToGrid w:val="0"/>
        <w:spacing w:line="360" w:lineRule="auto"/>
        <w:ind w:firstLine="560" w:firstLineChars="200"/>
        <w:rPr>
          <w:rFonts w:hint="eastAsia" w:ascii="宋体" w:hAnsi="宋体" w:eastAsia="宋体" w:cs="宋体"/>
          <w:snapToGrid w:val="0"/>
          <w:color w:val="000000"/>
          <w:sz w:val="28"/>
          <w:highlight w:val="none"/>
          <w:lang w:eastAsia="zh-CN"/>
        </w:rPr>
      </w:pPr>
      <w:r>
        <w:rPr>
          <w:rFonts w:hint="eastAsia" w:ascii="宋体" w:hAnsi="宋体" w:cs="宋体"/>
          <w:snapToGrid w:val="0"/>
          <w:color w:val="000000"/>
          <w:sz w:val="28"/>
          <w:highlight w:val="none"/>
          <w:lang w:val="en-US" w:eastAsia="zh-CN"/>
        </w:rPr>
        <w:t xml:space="preserve">9.1.1 </w:t>
      </w:r>
      <w:r>
        <w:rPr>
          <w:rFonts w:hint="eastAsia" w:ascii="宋体" w:hAnsi="宋体" w:cs="宋体"/>
          <w:snapToGrid w:val="0"/>
          <w:color w:val="000000"/>
          <w:sz w:val="28"/>
          <w:highlight w:val="none"/>
        </w:rPr>
        <w:t>商务</w:t>
      </w:r>
      <w:r>
        <w:rPr>
          <w:rFonts w:hint="eastAsia" w:ascii="宋体" w:hAnsi="宋体" w:cs="宋体"/>
          <w:snapToGrid w:val="0"/>
          <w:color w:val="000000"/>
          <w:sz w:val="28"/>
          <w:highlight w:val="none"/>
          <w:lang w:val="en-US" w:eastAsia="zh-CN"/>
        </w:rPr>
        <w:t>文件</w:t>
      </w:r>
    </w:p>
    <w:p w14:paraId="410194B5">
      <w:pPr>
        <w:tabs>
          <w:tab w:val="left" w:pos="0"/>
          <w:tab w:val="left" w:pos="993"/>
          <w:tab w:val="left" w:pos="1134"/>
        </w:tabs>
        <w:adjustRightInd w:val="0"/>
        <w:snapToGrid w:val="0"/>
        <w:spacing w:line="360" w:lineRule="auto"/>
        <w:ind w:firstLine="560" w:firstLineChars="200"/>
        <w:rPr>
          <w:rFonts w:hint="eastAsia" w:ascii="宋体" w:hAnsi="宋体" w:eastAsia="宋体" w:cs="宋体"/>
          <w:snapToGrid w:val="0"/>
          <w:color w:val="000000"/>
          <w:sz w:val="28"/>
          <w:highlight w:val="none"/>
          <w:lang w:val="en-US" w:eastAsia="zh-CN"/>
        </w:rPr>
      </w:pPr>
      <w:r>
        <w:rPr>
          <w:rFonts w:hint="eastAsia" w:ascii="宋体" w:hAnsi="宋体" w:cs="宋体"/>
          <w:bCs/>
          <w:snapToGrid w:val="0"/>
          <w:color w:val="000000"/>
          <w:sz w:val="28"/>
          <w:szCs w:val="28"/>
          <w:highlight w:val="none"/>
        </w:rPr>
        <w:t>(1)</w:t>
      </w:r>
      <w:r>
        <w:rPr>
          <w:rFonts w:hint="eastAsia" w:ascii="宋体" w:hAnsi="宋体" w:cs="宋体"/>
          <w:bCs/>
          <w:snapToGrid w:val="0"/>
          <w:color w:val="000000"/>
          <w:sz w:val="28"/>
          <w:szCs w:val="28"/>
          <w:highlight w:val="none"/>
          <w:lang w:eastAsia="zh-CN"/>
        </w:rPr>
        <w:t>投标书封面</w:t>
      </w:r>
    </w:p>
    <w:p w14:paraId="3D38395D">
      <w:pPr>
        <w:tabs>
          <w:tab w:val="left" w:pos="0"/>
          <w:tab w:val="left" w:pos="993"/>
          <w:tab w:val="left" w:pos="1134"/>
        </w:tabs>
        <w:adjustRightInd w:val="0"/>
        <w:snapToGrid w:val="0"/>
        <w:spacing w:line="360" w:lineRule="auto"/>
        <w:ind w:firstLine="560" w:firstLineChars="200"/>
        <w:rPr>
          <w:rFonts w:hint="eastAsia" w:ascii="宋体" w:hAnsi="宋体" w:eastAsia="宋体" w:cs="宋体"/>
          <w:snapToGrid w:val="0"/>
          <w:color w:val="000000"/>
          <w:sz w:val="28"/>
          <w:highlight w:val="none"/>
          <w:lang w:val="en-US" w:eastAsia="zh-CN"/>
        </w:rPr>
      </w:pPr>
      <w:r>
        <w:rPr>
          <w:rFonts w:hint="eastAsia" w:ascii="宋体" w:hAnsi="宋体" w:eastAsia="宋体" w:cs="宋体"/>
          <w:snapToGrid w:val="0"/>
          <w:color w:val="000000"/>
          <w:sz w:val="28"/>
          <w:highlight w:val="none"/>
          <w:lang w:val="en-US" w:eastAsia="zh-CN"/>
        </w:rPr>
        <w:t>(2)投标函</w:t>
      </w:r>
    </w:p>
    <w:p w14:paraId="0D8FA6B0">
      <w:pPr>
        <w:tabs>
          <w:tab w:val="left" w:pos="0"/>
          <w:tab w:val="left" w:pos="993"/>
          <w:tab w:val="left" w:pos="1134"/>
        </w:tabs>
        <w:adjustRightInd w:val="0"/>
        <w:snapToGrid w:val="0"/>
        <w:spacing w:line="360" w:lineRule="auto"/>
        <w:ind w:firstLine="560" w:firstLineChars="200"/>
        <w:rPr>
          <w:rFonts w:hint="eastAsia" w:ascii="宋体" w:hAnsi="宋体" w:eastAsia="宋体" w:cs="宋体"/>
          <w:snapToGrid w:val="0"/>
          <w:color w:val="000000"/>
          <w:sz w:val="28"/>
          <w:highlight w:val="none"/>
          <w:lang w:val="en-US" w:eastAsia="zh-CN"/>
        </w:rPr>
      </w:pPr>
      <w:r>
        <w:rPr>
          <w:rFonts w:hint="eastAsia" w:ascii="宋体" w:hAnsi="宋体" w:eastAsia="宋体" w:cs="宋体"/>
          <w:snapToGrid w:val="0"/>
          <w:color w:val="000000"/>
          <w:sz w:val="28"/>
          <w:highlight w:val="none"/>
          <w:lang w:val="en-US" w:eastAsia="zh-CN"/>
        </w:rPr>
        <w:t>(3)营业执照、安全生产许可证影印件加盖公章;</w:t>
      </w:r>
    </w:p>
    <w:p w14:paraId="0159C1E3">
      <w:pPr>
        <w:tabs>
          <w:tab w:val="left" w:pos="0"/>
          <w:tab w:val="left" w:pos="993"/>
          <w:tab w:val="left" w:pos="1134"/>
        </w:tabs>
        <w:adjustRightInd w:val="0"/>
        <w:snapToGrid w:val="0"/>
        <w:spacing w:line="360" w:lineRule="auto"/>
        <w:ind w:firstLine="560" w:firstLineChars="200"/>
        <w:rPr>
          <w:rFonts w:hint="eastAsia" w:ascii="宋体" w:hAnsi="宋体" w:eastAsia="宋体" w:cs="宋体"/>
          <w:snapToGrid w:val="0"/>
          <w:color w:val="000000"/>
          <w:sz w:val="28"/>
          <w:highlight w:val="none"/>
          <w:lang w:val="en-US" w:eastAsia="zh-CN"/>
        </w:rPr>
      </w:pPr>
      <w:r>
        <w:rPr>
          <w:rFonts w:hint="eastAsia" w:ascii="宋体" w:hAnsi="宋体" w:eastAsia="宋体" w:cs="宋体"/>
          <w:snapToGrid w:val="0"/>
          <w:color w:val="000000"/>
          <w:sz w:val="28"/>
          <w:highlight w:val="none"/>
          <w:lang w:val="en-US" w:eastAsia="zh-CN"/>
        </w:rPr>
        <w:t>(4)</w:t>
      </w:r>
      <w:r>
        <w:rPr>
          <w:rFonts w:hint="eastAsia"/>
          <w:b/>
          <w:bCs/>
          <w:sz w:val="28"/>
          <w:szCs w:val="28"/>
          <w:highlight w:val="none"/>
        </w:rPr>
        <w:t>若法定代表人参加投标的</w:t>
      </w:r>
      <w:r>
        <w:rPr>
          <w:rFonts w:hint="eastAsia"/>
          <w:sz w:val="28"/>
          <w:szCs w:val="28"/>
          <w:highlight w:val="none"/>
        </w:rPr>
        <w:t>，</w:t>
      </w:r>
      <w:r>
        <w:rPr>
          <w:rFonts w:hint="eastAsia"/>
          <w:sz w:val="28"/>
          <w:szCs w:val="28"/>
          <w:highlight w:val="none"/>
          <w:lang w:eastAsia="zh-CN"/>
        </w:rPr>
        <w:t>投标文件内</w:t>
      </w:r>
      <w:r>
        <w:rPr>
          <w:rFonts w:hint="eastAsia"/>
          <w:sz w:val="28"/>
          <w:szCs w:val="28"/>
          <w:highlight w:val="none"/>
        </w:rPr>
        <w:t>须提供本人身份证复印件；</w:t>
      </w:r>
      <w:r>
        <w:rPr>
          <w:rFonts w:hint="eastAsia"/>
          <w:b/>
          <w:bCs/>
          <w:sz w:val="28"/>
          <w:szCs w:val="28"/>
          <w:highlight w:val="none"/>
        </w:rPr>
        <w:t>若授权代表参加的</w:t>
      </w:r>
      <w:r>
        <w:rPr>
          <w:rFonts w:hint="eastAsia"/>
          <w:sz w:val="28"/>
          <w:szCs w:val="28"/>
          <w:highlight w:val="none"/>
        </w:rPr>
        <w:t>，须</w:t>
      </w:r>
      <w:r>
        <w:rPr>
          <w:rFonts w:hint="eastAsia"/>
          <w:sz w:val="28"/>
          <w:szCs w:val="28"/>
          <w:highlight w:val="none"/>
          <w:lang w:eastAsia="zh-CN"/>
        </w:rPr>
        <w:t>与</w:t>
      </w:r>
      <w:r>
        <w:rPr>
          <w:rFonts w:hint="eastAsia"/>
          <w:sz w:val="28"/>
          <w:szCs w:val="28"/>
          <w:highlight w:val="none"/>
          <w:u w:val="single"/>
          <w:lang w:eastAsia="zh-CN"/>
        </w:rPr>
        <w:t>报名</w:t>
      </w:r>
      <w:r>
        <w:rPr>
          <w:rFonts w:hint="eastAsia" w:ascii="宋体" w:hAnsi="宋体" w:eastAsia="宋体" w:cs="宋体"/>
          <w:snapToGrid w:val="0"/>
          <w:color w:val="000000"/>
          <w:sz w:val="28"/>
          <w:highlight w:val="none"/>
          <w:u w:val="single"/>
          <w:lang w:val="en-US" w:eastAsia="zh-CN"/>
        </w:rPr>
        <w:t>2025年-2026年上善公司协作单位</w:t>
      </w:r>
      <w:r>
        <w:rPr>
          <w:rFonts w:hint="eastAsia" w:ascii="宋体" w:hAnsi="宋体" w:eastAsia="宋体" w:cs="宋体"/>
          <w:snapToGrid w:val="0"/>
          <w:color w:val="auto"/>
          <w:sz w:val="28"/>
          <w:szCs w:val="28"/>
          <w:highlight w:val="none"/>
          <w:u w:val="single"/>
          <w:lang w:val="en-US" w:eastAsia="zh-CN"/>
        </w:rPr>
        <w:t>名录库的授权委托人</w:t>
      </w:r>
      <w:r>
        <w:rPr>
          <w:rFonts w:hint="eastAsia" w:ascii="宋体" w:hAnsi="宋体" w:eastAsia="宋体" w:cs="宋体"/>
          <w:b/>
          <w:bCs/>
          <w:snapToGrid w:val="0"/>
          <w:color w:val="auto"/>
          <w:sz w:val="28"/>
          <w:szCs w:val="28"/>
          <w:highlight w:val="none"/>
          <w:u w:val="single"/>
          <w:lang w:val="en-US" w:eastAsia="zh-CN"/>
        </w:rPr>
        <w:t>一致</w:t>
      </w:r>
      <w:r>
        <w:rPr>
          <w:rFonts w:hint="eastAsia" w:ascii="宋体" w:hAnsi="宋体" w:eastAsia="宋体" w:cs="宋体"/>
          <w:snapToGrid w:val="0"/>
          <w:color w:val="auto"/>
          <w:sz w:val="28"/>
          <w:szCs w:val="28"/>
          <w:highlight w:val="none"/>
          <w:u w:val="none"/>
          <w:lang w:val="en-US" w:eastAsia="zh-CN"/>
        </w:rPr>
        <w:t>，投标文件内需提供</w:t>
      </w:r>
      <w:r>
        <w:rPr>
          <w:rFonts w:hint="eastAsia"/>
          <w:sz w:val="28"/>
          <w:szCs w:val="28"/>
          <w:highlight w:val="none"/>
        </w:rPr>
        <w:t>《法人授权书》原件和授权代表身份证复印件</w:t>
      </w:r>
      <w:r>
        <w:rPr>
          <w:rFonts w:hint="eastAsia"/>
          <w:sz w:val="28"/>
          <w:szCs w:val="28"/>
          <w:highlight w:val="none"/>
          <w:lang w:eastAsia="zh-CN"/>
        </w:rPr>
        <w:t>及半年内任意一个月社保</w:t>
      </w:r>
      <w:r>
        <w:rPr>
          <w:rFonts w:hint="eastAsia" w:ascii="宋体" w:hAnsi="宋体" w:eastAsia="宋体" w:cs="宋体"/>
          <w:snapToGrid w:val="0"/>
          <w:color w:val="000000"/>
          <w:sz w:val="28"/>
          <w:highlight w:val="none"/>
          <w:lang w:val="en-US" w:eastAsia="zh-CN"/>
        </w:rPr>
        <w:t>;</w:t>
      </w:r>
    </w:p>
    <w:p w14:paraId="7F8A9B04">
      <w:pPr>
        <w:tabs>
          <w:tab w:val="left" w:pos="0"/>
          <w:tab w:val="left" w:pos="993"/>
          <w:tab w:val="left" w:pos="1134"/>
        </w:tabs>
        <w:adjustRightInd w:val="0"/>
        <w:snapToGrid w:val="0"/>
        <w:spacing w:line="360" w:lineRule="auto"/>
        <w:ind w:firstLine="560" w:firstLineChars="200"/>
        <w:rPr>
          <w:rFonts w:hint="eastAsia" w:ascii="宋体" w:hAnsi="宋体" w:eastAsia="宋体" w:cs="宋体"/>
          <w:snapToGrid w:val="0"/>
          <w:color w:val="000000"/>
          <w:sz w:val="28"/>
          <w:highlight w:val="none"/>
          <w:lang w:val="en-US" w:eastAsia="zh-CN"/>
        </w:rPr>
      </w:pPr>
      <w:r>
        <w:rPr>
          <w:rFonts w:hint="eastAsia" w:ascii="宋体" w:hAnsi="宋体" w:eastAsia="宋体" w:cs="宋体"/>
          <w:snapToGrid w:val="0"/>
          <w:color w:val="000000"/>
          <w:sz w:val="28"/>
          <w:highlight w:val="none"/>
          <w:lang w:val="en-US" w:eastAsia="zh-CN"/>
        </w:rPr>
        <w:t>(5)投标项目经理具有</w:t>
      </w:r>
      <w:r>
        <w:rPr>
          <w:rFonts w:hint="eastAsia" w:ascii="宋体" w:hAnsi="宋体" w:cs="宋体"/>
          <w:snapToGrid w:val="0"/>
          <w:color w:val="000000"/>
          <w:sz w:val="28"/>
          <w:highlight w:val="none"/>
          <w:lang w:val="en-US" w:eastAsia="zh-CN"/>
        </w:rPr>
        <w:t>园林绿化类助理及以上职称</w:t>
      </w:r>
      <w:r>
        <w:rPr>
          <w:rFonts w:hint="eastAsia" w:ascii="宋体" w:hAnsi="宋体" w:eastAsia="宋体" w:cs="宋体"/>
          <w:snapToGrid w:val="0"/>
          <w:color w:val="000000"/>
          <w:sz w:val="28"/>
          <w:highlight w:val="none"/>
          <w:lang w:val="en-US" w:eastAsia="zh-CN"/>
        </w:rPr>
        <w:t>，并提供证书影印件及在投标人单位半年内任意一个月社保;</w:t>
      </w:r>
    </w:p>
    <w:p w14:paraId="1C5C4B50">
      <w:pPr>
        <w:tabs>
          <w:tab w:val="left" w:pos="0"/>
          <w:tab w:val="left" w:pos="993"/>
          <w:tab w:val="left" w:pos="1134"/>
        </w:tabs>
        <w:adjustRightInd w:val="0"/>
        <w:snapToGrid w:val="0"/>
        <w:spacing w:line="360" w:lineRule="auto"/>
        <w:ind w:firstLine="560" w:firstLineChars="200"/>
        <w:rPr>
          <w:rFonts w:hint="eastAsia" w:ascii="宋体" w:hAnsi="宋体" w:eastAsia="宋体" w:cs="宋体"/>
          <w:snapToGrid w:val="0"/>
          <w:color w:val="000000"/>
          <w:sz w:val="28"/>
          <w:highlight w:val="none"/>
          <w:lang w:val="en-US" w:eastAsia="zh-CN"/>
        </w:rPr>
      </w:pPr>
      <w:r>
        <w:rPr>
          <w:rFonts w:hint="eastAsia" w:ascii="宋体" w:hAnsi="宋体" w:eastAsia="宋体" w:cs="宋体"/>
          <w:snapToGrid w:val="0"/>
          <w:color w:val="000000"/>
          <w:sz w:val="28"/>
          <w:highlight w:val="none"/>
          <w:lang w:val="en-US" w:eastAsia="zh-CN"/>
        </w:rPr>
        <w:t>(6)配备专职安全员1名，且具备有效的安全生产考核合格证C证，并提供证书影印件及在投标人单位半年内任意一个月社保;</w:t>
      </w:r>
    </w:p>
    <w:p w14:paraId="702E7245">
      <w:pPr>
        <w:tabs>
          <w:tab w:val="left" w:pos="0"/>
          <w:tab w:val="left" w:pos="993"/>
          <w:tab w:val="left" w:pos="1134"/>
        </w:tabs>
        <w:adjustRightInd w:val="0"/>
        <w:snapToGrid w:val="0"/>
        <w:spacing w:line="360" w:lineRule="auto"/>
        <w:ind w:firstLine="560" w:firstLineChars="200"/>
        <w:rPr>
          <w:rFonts w:hint="eastAsia" w:ascii="宋体" w:hAnsi="宋体" w:eastAsia="宋体" w:cs="宋体"/>
          <w:snapToGrid w:val="0"/>
          <w:color w:val="000000"/>
          <w:sz w:val="28"/>
          <w:highlight w:val="none"/>
          <w:lang w:val="en-US" w:eastAsia="zh-CN"/>
        </w:rPr>
      </w:pPr>
      <w:r>
        <w:rPr>
          <w:rFonts w:hint="eastAsia" w:ascii="宋体" w:hAnsi="宋体" w:eastAsia="宋体" w:cs="宋体"/>
          <w:snapToGrid w:val="0"/>
          <w:color w:val="000000"/>
          <w:sz w:val="28"/>
          <w:highlight w:val="none"/>
          <w:lang w:val="en-US" w:eastAsia="zh-CN"/>
        </w:rPr>
        <w:t>(7)质量承诺书;</w:t>
      </w:r>
    </w:p>
    <w:p w14:paraId="3876B033">
      <w:pPr>
        <w:tabs>
          <w:tab w:val="left" w:pos="0"/>
          <w:tab w:val="left" w:pos="993"/>
          <w:tab w:val="left" w:pos="1134"/>
        </w:tabs>
        <w:adjustRightInd w:val="0"/>
        <w:snapToGrid w:val="0"/>
        <w:spacing w:line="360" w:lineRule="auto"/>
        <w:ind w:firstLine="560" w:firstLineChars="200"/>
        <w:rPr>
          <w:rFonts w:hint="default" w:ascii="宋体" w:hAnsi="宋体" w:eastAsia="宋体" w:cs="宋体"/>
          <w:b w:val="0"/>
          <w:bCs/>
          <w:snapToGrid w:val="0"/>
          <w:color w:val="000000"/>
          <w:sz w:val="28"/>
          <w:szCs w:val="28"/>
          <w:highlight w:val="none"/>
          <w:lang w:val="en-US" w:eastAsia="zh-CN"/>
        </w:rPr>
      </w:pPr>
      <w:r>
        <w:rPr>
          <w:rFonts w:hint="eastAsia" w:ascii="宋体" w:hAnsi="宋体" w:eastAsia="宋体" w:cs="宋体"/>
          <w:snapToGrid w:val="0"/>
          <w:color w:val="000000"/>
          <w:sz w:val="28"/>
          <w:highlight w:val="none"/>
          <w:lang w:val="en-US" w:eastAsia="zh-CN"/>
        </w:rPr>
        <w:t>(8)工期承诺书。</w:t>
      </w:r>
    </w:p>
    <w:p w14:paraId="5C4BD0F6">
      <w:pPr>
        <w:tabs>
          <w:tab w:val="left" w:pos="0"/>
          <w:tab w:val="left" w:pos="993"/>
          <w:tab w:val="left" w:pos="1134"/>
        </w:tabs>
        <w:spacing w:line="360" w:lineRule="auto"/>
        <w:ind w:firstLine="560" w:firstLineChars="200"/>
        <w:rPr>
          <w:rFonts w:hint="eastAsia" w:ascii="宋体" w:hAnsi="宋体" w:eastAsia="宋体" w:cs="宋体"/>
          <w:b w:val="0"/>
          <w:bCs w:val="0"/>
          <w:snapToGrid w:val="0"/>
          <w:color w:val="000000"/>
          <w:sz w:val="28"/>
          <w:szCs w:val="22"/>
          <w:highlight w:val="none"/>
          <w:lang w:val="en-US" w:eastAsia="zh-CN"/>
        </w:rPr>
      </w:pPr>
      <w:r>
        <w:rPr>
          <w:rFonts w:hint="eastAsia" w:ascii="宋体" w:hAnsi="宋体" w:eastAsia="宋体" w:cs="宋体"/>
          <w:b w:val="0"/>
          <w:bCs w:val="0"/>
          <w:snapToGrid w:val="0"/>
          <w:color w:val="000000"/>
          <w:sz w:val="28"/>
          <w:szCs w:val="22"/>
          <w:highlight w:val="none"/>
          <w:lang w:val="en-US" w:eastAsia="zh-CN"/>
        </w:rPr>
        <w:t>9.1.2 技术文件</w:t>
      </w:r>
    </w:p>
    <w:p w14:paraId="46ADED67">
      <w:pPr>
        <w:tabs>
          <w:tab w:val="left" w:pos="0"/>
          <w:tab w:val="left" w:pos="993"/>
          <w:tab w:val="left" w:pos="1134"/>
        </w:tabs>
        <w:spacing w:line="360" w:lineRule="auto"/>
        <w:ind w:firstLine="560" w:firstLineChars="200"/>
        <w:rPr>
          <w:rFonts w:hint="eastAsia" w:ascii="宋体" w:hAnsi="宋体" w:eastAsia="宋体" w:cs="宋体"/>
          <w:b w:val="0"/>
          <w:bCs w:val="0"/>
          <w:snapToGrid w:val="0"/>
          <w:color w:val="000000"/>
          <w:sz w:val="28"/>
          <w:szCs w:val="22"/>
          <w:highlight w:val="none"/>
          <w:lang w:val="en-US" w:eastAsia="zh-CN"/>
        </w:rPr>
      </w:pPr>
      <w:r>
        <w:rPr>
          <w:rFonts w:hint="eastAsia" w:ascii="宋体" w:hAnsi="宋体" w:eastAsia="宋体" w:cs="宋体"/>
          <w:b w:val="0"/>
          <w:bCs w:val="0"/>
          <w:snapToGrid w:val="0"/>
          <w:color w:val="000000"/>
          <w:sz w:val="28"/>
          <w:szCs w:val="22"/>
          <w:highlight w:val="none"/>
          <w:lang w:val="en-US" w:eastAsia="zh-CN"/>
        </w:rPr>
        <w:t>☑不需要</w:t>
      </w:r>
    </w:p>
    <w:p w14:paraId="53AE5BC8">
      <w:pPr>
        <w:tabs>
          <w:tab w:val="left" w:pos="0"/>
          <w:tab w:val="left" w:pos="993"/>
          <w:tab w:val="left" w:pos="1134"/>
        </w:tabs>
        <w:spacing w:line="360" w:lineRule="auto"/>
        <w:ind w:firstLine="560" w:firstLineChars="200"/>
        <w:rPr>
          <w:rFonts w:hint="default"/>
          <w:b/>
          <w:bCs/>
          <w:color w:val="000000"/>
          <w:highlight w:val="none"/>
          <w:lang w:val="en-US" w:eastAsia="zh-CN"/>
        </w:rPr>
      </w:pPr>
      <w:r>
        <w:rPr>
          <w:rFonts w:hint="eastAsia" w:ascii="宋体" w:hAnsi="宋体" w:eastAsia="宋体" w:cs="宋体"/>
          <w:b w:val="0"/>
          <w:bCs w:val="0"/>
          <w:snapToGrid w:val="0"/>
          <w:color w:val="000000"/>
          <w:sz w:val="28"/>
          <w:szCs w:val="22"/>
          <w:highlight w:val="none"/>
          <w:lang w:val="en-US" w:eastAsia="zh-CN"/>
        </w:rPr>
        <w:t>□技术分投标部分：</w:t>
      </w:r>
      <w:r>
        <w:rPr>
          <w:rFonts w:hint="eastAsia" w:ascii="宋体" w:hAnsi="宋体" w:eastAsia="宋体" w:cs="宋体"/>
          <w:b/>
          <w:bCs/>
          <w:snapToGrid w:val="0"/>
          <w:color w:val="000000"/>
          <w:sz w:val="28"/>
          <w:szCs w:val="22"/>
          <w:highlight w:val="none"/>
          <w:lang w:val="en-US" w:eastAsia="zh-CN"/>
        </w:rPr>
        <w:t>（技术标投标部分，不包括业绩资料）。</w:t>
      </w:r>
    </w:p>
    <w:p w14:paraId="1FCCFC49">
      <w:pPr>
        <w:tabs>
          <w:tab w:val="left" w:pos="0"/>
          <w:tab w:val="left" w:pos="993"/>
          <w:tab w:val="left" w:pos="1134"/>
        </w:tabs>
        <w:adjustRightInd w:val="0"/>
        <w:snapToGrid w:val="0"/>
        <w:spacing w:line="360" w:lineRule="auto"/>
        <w:ind w:firstLine="560" w:firstLineChars="200"/>
        <w:rPr>
          <w:rFonts w:hint="eastAsia" w:ascii="宋体" w:hAnsi="宋体" w:cs="宋体"/>
          <w:snapToGrid w:val="0"/>
          <w:color w:val="000000"/>
          <w:sz w:val="28"/>
          <w:highlight w:val="none"/>
        </w:rPr>
      </w:pPr>
      <w:r>
        <w:rPr>
          <w:rFonts w:hint="eastAsia" w:ascii="宋体" w:hAnsi="宋体" w:cs="宋体"/>
          <w:snapToGrid w:val="0"/>
          <w:color w:val="000000"/>
          <w:sz w:val="28"/>
          <w:highlight w:val="none"/>
          <w:lang w:eastAsia="zh-CN"/>
        </w:rPr>
        <w:t>第</w:t>
      </w:r>
      <w:r>
        <w:rPr>
          <w:rFonts w:hint="eastAsia" w:ascii="宋体" w:hAnsi="宋体" w:cs="宋体"/>
          <w:snapToGrid w:val="0"/>
          <w:color w:val="000000"/>
          <w:sz w:val="28"/>
          <w:highlight w:val="none"/>
          <w:lang w:val="en-US" w:eastAsia="zh-CN"/>
        </w:rPr>
        <w:t xml:space="preserve">10条 </w:t>
      </w:r>
      <w:r>
        <w:rPr>
          <w:rFonts w:hint="eastAsia" w:ascii="宋体" w:hAnsi="宋体" w:cs="宋体"/>
          <w:snapToGrid w:val="0"/>
          <w:color w:val="000000"/>
          <w:sz w:val="28"/>
          <w:highlight w:val="none"/>
        </w:rPr>
        <w:t>投标文件的份数和签署</w:t>
      </w:r>
    </w:p>
    <w:p w14:paraId="7343463E">
      <w:pPr>
        <w:numPr>
          <w:ilvl w:val="0"/>
          <w:numId w:val="0"/>
        </w:numPr>
        <w:tabs>
          <w:tab w:val="left" w:pos="0"/>
          <w:tab w:val="left" w:pos="1134"/>
        </w:tabs>
        <w:adjustRightInd w:val="0"/>
        <w:snapToGrid w:val="0"/>
        <w:spacing w:line="360" w:lineRule="auto"/>
        <w:ind w:left="0" w:firstLine="560" w:firstLineChars="200"/>
        <w:rPr>
          <w:rFonts w:hint="eastAsia" w:ascii="宋体" w:hAnsi="宋体" w:eastAsia="宋体" w:cs="宋体"/>
          <w:snapToGrid w:val="0"/>
          <w:color w:val="000000"/>
          <w:sz w:val="28"/>
          <w:highlight w:val="none"/>
        </w:rPr>
      </w:pPr>
      <w:r>
        <w:rPr>
          <w:rFonts w:hint="eastAsia" w:ascii="宋体" w:hAnsi="宋体" w:cs="宋体"/>
          <w:snapToGrid w:val="0"/>
          <w:color w:val="000000"/>
          <w:sz w:val="28"/>
          <w:highlight w:val="none"/>
          <w:lang w:val="en-US" w:eastAsia="zh-CN"/>
        </w:rPr>
        <w:t xml:space="preserve">10.1 </w:t>
      </w:r>
      <w:r>
        <w:rPr>
          <w:rFonts w:hint="eastAsia" w:ascii="宋体" w:hAnsi="宋体" w:eastAsia="宋体" w:cs="宋体"/>
          <w:snapToGrid w:val="0"/>
          <w:color w:val="000000"/>
          <w:sz w:val="28"/>
          <w:highlight w:val="none"/>
          <w:lang w:val="en-US" w:eastAsia="zh-CN"/>
        </w:rPr>
        <w:t>详见</w:t>
      </w:r>
      <w:r>
        <w:rPr>
          <w:rFonts w:hint="eastAsia" w:ascii="宋体" w:hAnsi="宋体" w:eastAsia="宋体" w:cs="宋体"/>
          <w:snapToGrid w:val="0"/>
          <w:color w:val="000000"/>
          <w:sz w:val="28"/>
          <w:highlight w:val="none"/>
        </w:rPr>
        <w:t>投标人须知前附表</w:t>
      </w:r>
    </w:p>
    <w:p w14:paraId="0210C792">
      <w:pPr>
        <w:numPr>
          <w:ilvl w:val="0"/>
          <w:numId w:val="0"/>
        </w:numPr>
        <w:tabs>
          <w:tab w:val="left" w:pos="0"/>
          <w:tab w:val="left" w:pos="993"/>
          <w:tab w:val="left" w:pos="1134"/>
        </w:tabs>
        <w:adjustRightInd w:val="0"/>
        <w:snapToGrid w:val="0"/>
        <w:spacing w:line="360" w:lineRule="auto"/>
        <w:ind w:left="0" w:firstLine="560" w:firstLineChars="200"/>
        <w:rPr>
          <w:rFonts w:hint="eastAsia" w:ascii="宋体" w:hAnsi="宋体" w:cs="宋体"/>
          <w:snapToGrid w:val="0"/>
          <w:color w:val="000000"/>
          <w:sz w:val="28"/>
          <w:highlight w:val="none"/>
        </w:rPr>
      </w:pPr>
      <w:r>
        <w:rPr>
          <w:rFonts w:hint="eastAsia" w:ascii="宋体" w:hAnsi="宋体" w:cs="宋体"/>
          <w:snapToGrid w:val="0"/>
          <w:color w:val="000000"/>
          <w:sz w:val="28"/>
          <w:highlight w:val="none"/>
          <w:lang w:val="en-US" w:eastAsia="zh-CN"/>
        </w:rPr>
        <w:t xml:space="preserve">10.2 </w:t>
      </w:r>
      <w:r>
        <w:rPr>
          <w:rFonts w:hint="eastAsia" w:ascii="宋体" w:hAnsi="宋体" w:cs="宋体"/>
          <w:snapToGrid w:val="0"/>
          <w:color w:val="000000"/>
          <w:sz w:val="28"/>
          <w:highlight w:val="none"/>
        </w:rPr>
        <w:t>投标文件均应使用不能擦去的墨水书写或打印，由投标人加盖法人公章和法定代表人或法定代表人委托的代理人印鉴或签字。</w:t>
      </w:r>
    </w:p>
    <w:p w14:paraId="6617ACE0">
      <w:pPr>
        <w:tabs>
          <w:tab w:val="left" w:pos="0"/>
          <w:tab w:val="left" w:pos="993"/>
          <w:tab w:val="left" w:pos="1134"/>
        </w:tabs>
        <w:adjustRightInd w:val="0"/>
        <w:snapToGrid w:val="0"/>
        <w:spacing w:line="360" w:lineRule="auto"/>
        <w:ind w:firstLine="567"/>
        <w:rPr>
          <w:rFonts w:hint="eastAsia" w:ascii="宋体" w:hAnsi="宋体" w:cs="宋体"/>
          <w:snapToGrid w:val="0"/>
          <w:color w:val="000000"/>
          <w:sz w:val="28"/>
          <w:highlight w:val="none"/>
        </w:rPr>
      </w:pPr>
      <w:r>
        <w:rPr>
          <w:rFonts w:hint="eastAsia" w:ascii="宋体" w:hAnsi="宋体" w:cs="宋体"/>
          <w:snapToGrid w:val="0"/>
          <w:color w:val="000000"/>
          <w:sz w:val="28"/>
          <w:highlight w:val="none"/>
          <w:lang w:val="en-US" w:eastAsia="zh-CN"/>
        </w:rPr>
        <w:t xml:space="preserve">10.3 </w:t>
      </w:r>
      <w:r>
        <w:rPr>
          <w:rFonts w:hint="eastAsia" w:ascii="宋体" w:hAnsi="宋体" w:cs="宋体"/>
          <w:snapToGrid w:val="0"/>
          <w:color w:val="000000"/>
          <w:sz w:val="28"/>
          <w:highlight w:val="none"/>
        </w:rPr>
        <w:t>全套投标文件应无涂改和行间插字，除非这些删改是根据招标文件的指示进行的，或者是投标人造成的必须修改的错误。修改处应加盖法定代表人或其委托人印鉴。</w:t>
      </w:r>
    </w:p>
    <w:p w14:paraId="2318AC06">
      <w:pPr>
        <w:tabs>
          <w:tab w:val="left" w:pos="0"/>
          <w:tab w:val="left" w:pos="993"/>
          <w:tab w:val="left" w:pos="1134"/>
        </w:tabs>
        <w:adjustRightInd w:val="0"/>
        <w:snapToGrid w:val="0"/>
        <w:spacing w:line="360" w:lineRule="auto"/>
        <w:ind w:firstLine="560"/>
        <w:rPr>
          <w:rFonts w:hint="eastAsia" w:ascii="宋体" w:hAnsi="宋体" w:cs="宋体"/>
          <w:snapToGrid w:val="0"/>
          <w:color w:val="000000"/>
          <w:sz w:val="28"/>
          <w:szCs w:val="28"/>
          <w:highlight w:val="none"/>
        </w:rPr>
      </w:pPr>
      <w:r>
        <w:rPr>
          <w:rFonts w:hint="eastAsia" w:ascii="宋体" w:hAnsi="宋体" w:cs="宋体"/>
          <w:snapToGrid w:val="0"/>
          <w:color w:val="000000"/>
          <w:sz w:val="28"/>
          <w:highlight w:val="none"/>
          <w:lang w:val="en-US" w:eastAsia="zh-CN"/>
        </w:rPr>
        <w:t xml:space="preserve">10.4 </w:t>
      </w:r>
      <w:r>
        <w:rPr>
          <w:rFonts w:hint="eastAsia" w:ascii="宋体" w:hAnsi="宋体" w:cs="宋体"/>
          <w:snapToGrid w:val="0"/>
          <w:color w:val="000000"/>
          <w:sz w:val="28"/>
          <w:szCs w:val="28"/>
          <w:highlight w:val="none"/>
        </w:rPr>
        <w:t>投标人未按规定提交投标文件正、副本，其投标文件将被拒绝，作废标处理。</w:t>
      </w:r>
    </w:p>
    <w:p w14:paraId="7C8F945D">
      <w:pPr>
        <w:tabs>
          <w:tab w:val="left" w:pos="0"/>
          <w:tab w:val="left" w:pos="993"/>
          <w:tab w:val="left" w:pos="1134"/>
        </w:tabs>
        <w:adjustRightInd w:val="0"/>
        <w:snapToGrid w:val="0"/>
        <w:spacing w:line="360" w:lineRule="auto"/>
        <w:ind w:firstLine="560"/>
        <w:rPr>
          <w:rFonts w:hint="eastAsia" w:ascii="宋体" w:hAnsi="宋体" w:cs="宋体"/>
          <w:b/>
          <w:snapToGrid w:val="0"/>
          <w:color w:val="000000"/>
          <w:sz w:val="30"/>
          <w:highlight w:val="none"/>
        </w:rPr>
      </w:pPr>
      <w:r>
        <w:rPr>
          <w:rFonts w:hint="eastAsia" w:ascii="宋体" w:hAnsi="宋体" w:eastAsia="宋体" w:cs="宋体"/>
          <w:snapToGrid w:val="0"/>
          <w:color w:val="000000"/>
          <w:sz w:val="28"/>
          <w:highlight w:val="none"/>
          <w:lang w:val="en-US" w:eastAsia="zh-CN"/>
        </w:rPr>
        <w:t xml:space="preserve">10.5 </w:t>
      </w:r>
      <w:r>
        <w:rPr>
          <w:rFonts w:hint="eastAsia" w:ascii="宋体" w:hAnsi="宋体" w:eastAsia="宋体" w:cs="宋体"/>
          <w:snapToGrid w:val="0"/>
          <w:color w:val="000000"/>
          <w:sz w:val="28"/>
          <w:highlight w:val="none"/>
        </w:rPr>
        <w:t>投标人应将</w:t>
      </w:r>
      <w:r>
        <w:rPr>
          <w:rFonts w:hint="eastAsia" w:ascii="宋体" w:hAnsi="宋体" w:eastAsia="宋体" w:cs="宋体"/>
          <w:snapToGrid w:val="0"/>
          <w:color w:val="000000"/>
          <w:sz w:val="28"/>
          <w:highlight w:val="none"/>
          <w:lang w:eastAsia="zh-CN"/>
        </w:rPr>
        <w:t>商务文件、技术</w:t>
      </w:r>
      <w:r>
        <w:rPr>
          <w:rFonts w:hint="eastAsia" w:ascii="宋体" w:hAnsi="宋体" w:eastAsia="宋体" w:cs="宋体"/>
          <w:snapToGrid w:val="0"/>
          <w:color w:val="000000"/>
          <w:sz w:val="28"/>
          <w:highlight w:val="none"/>
        </w:rPr>
        <w:t>文件</w:t>
      </w:r>
      <w:r>
        <w:rPr>
          <w:rFonts w:hint="eastAsia" w:ascii="宋体" w:hAnsi="宋体" w:eastAsia="宋体" w:cs="宋体"/>
          <w:snapToGrid w:val="0"/>
          <w:color w:val="000000"/>
          <w:sz w:val="28"/>
          <w:highlight w:val="none"/>
          <w:lang w:eastAsia="zh-CN"/>
        </w:rPr>
        <w:t>分开</w:t>
      </w:r>
      <w:r>
        <w:rPr>
          <w:rFonts w:hint="eastAsia" w:ascii="宋体" w:hAnsi="宋体" w:eastAsia="宋体" w:cs="宋体"/>
          <w:snapToGrid w:val="0"/>
          <w:color w:val="000000"/>
          <w:sz w:val="28"/>
          <w:highlight w:val="none"/>
        </w:rPr>
        <w:t>装订成册，</w:t>
      </w:r>
      <w:r>
        <w:rPr>
          <w:rFonts w:hint="eastAsia" w:ascii="宋体" w:hAnsi="宋体" w:eastAsia="宋体" w:cs="宋体"/>
          <w:snapToGrid w:val="0"/>
          <w:color w:val="000000"/>
          <w:sz w:val="28"/>
          <w:highlight w:val="none"/>
          <w:lang w:eastAsia="zh-CN"/>
        </w:rPr>
        <w:t>文件</w:t>
      </w:r>
      <w:r>
        <w:rPr>
          <w:rFonts w:hint="eastAsia" w:ascii="宋体" w:hAnsi="宋体" w:eastAsia="宋体" w:cs="宋体"/>
          <w:snapToGrid w:val="0"/>
          <w:color w:val="000000"/>
          <w:sz w:val="28"/>
          <w:highlight w:val="none"/>
        </w:rPr>
        <w:t>应逐页编码，不得跳页（包括但不限于证明材料、声明及产品介绍、彩页等），并编制投标文件资料目录</w:t>
      </w:r>
      <w:r>
        <w:rPr>
          <w:rFonts w:hint="eastAsia" w:ascii="宋体" w:hAnsi="宋体" w:eastAsia="宋体" w:cs="宋体"/>
          <w:snapToGrid w:val="0"/>
          <w:color w:val="000000"/>
          <w:sz w:val="28"/>
          <w:highlight w:val="none"/>
          <w:lang w:eastAsia="zh-CN"/>
        </w:rPr>
        <w:t>页并逐条对应文件页码</w:t>
      </w:r>
      <w:r>
        <w:rPr>
          <w:rFonts w:hint="eastAsia" w:ascii="宋体" w:hAnsi="宋体" w:eastAsia="宋体" w:cs="宋体"/>
          <w:snapToGrid w:val="0"/>
          <w:color w:val="000000"/>
          <w:sz w:val="28"/>
          <w:highlight w:val="none"/>
        </w:rPr>
        <w:t>。由于编排混乱导致投标文件被误读或查找不到，责任由投标人承担。</w:t>
      </w:r>
    </w:p>
    <w:p w14:paraId="5280C116">
      <w:pPr>
        <w:numPr>
          <w:ilvl w:val="0"/>
          <w:numId w:val="6"/>
        </w:numPr>
        <w:tabs>
          <w:tab w:val="left" w:pos="0"/>
          <w:tab w:val="left" w:pos="993"/>
          <w:tab w:val="left" w:pos="1134"/>
        </w:tabs>
        <w:adjustRightInd w:val="0"/>
        <w:snapToGrid w:val="0"/>
        <w:spacing w:line="360" w:lineRule="auto"/>
        <w:jc w:val="center"/>
        <w:rPr>
          <w:rFonts w:hint="eastAsia" w:ascii="宋体" w:hAnsi="宋体" w:cs="宋体"/>
          <w:b/>
          <w:snapToGrid w:val="0"/>
          <w:color w:val="000000"/>
          <w:sz w:val="30"/>
          <w:highlight w:val="none"/>
        </w:rPr>
      </w:pPr>
      <w:r>
        <w:rPr>
          <w:rFonts w:hint="eastAsia" w:ascii="宋体" w:hAnsi="宋体" w:cs="宋体"/>
          <w:b/>
          <w:snapToGrid w:val="0"/>
          <w:color w:val="000000"/>
          <w:sz w:val="30"/>
          <w:highlight w:val="none"/>
        </w:rPr>
        <w:t>投标文件的密封和递交</w:t>
      </w:r>
    </w:p>
    <w:p w14:paraId="09E914E3">
      <w:pPr>
        <w:tabs>
          <w:tab w:val="left" w:pos="0"/>
          <w:tab w:val="left" w:pos="993"/>
          <w:tab w:val="left" w:pos="1134"/>
        </w:tabs>
        <w:adjustRightInd w:val="0"/>
        <w:snapToGrid w:val="0"/>
        <w:spacing w:line="360" w:lineRule="auto"/>
        <w:ind w:firstLine="567"/>
        <w:rPr>
          <w:rFonts w:hint="eastAsia" w:ascii="宋体" w:hAnsi="宋体" w:cs="宋体"/>
          <w:snapToGrid w:val="0"/>
          <w:color w:val="000000"/>
          <w:sz w:val="28"/>
          <w:highlight w:val="none"/>
        </w:rPr>
      </w:pPr>
      <w:r>
        <w:rPr>
          <w:rFonts w:hint="eastAsia" w:ascii="宋体" w:hAnsi="宋体" w:cs="宋体"/>
          <w:snapToGrid w:val="0"/>
          <w:color w:val="000000"/>
          <w:sz w:val="28"/>
          <w:highlight w:val="none"/>
          <w:lang w:eastAsia="zh-CN"/>
        </w:rPr>
        <w:t>第</w:t>
      </w:r>
      <w:r>
        <w:rPr>
          <w:rFonts w:hint="eastAsia" w:ascii="宋体" w:hAnsi="宋体" w:cs="宋体"/>
          <w:snapToGrid w:val="0"/>
          <w:color w:val="000000"/>
          <w:sz w:val="28"/>
          <w:highlight w:val="none"/>
          <w:lang w:val="en-US" w:eastAsia="zh-CN"/>
        </w:rPr>
        <w:t xml:space="preserve">11条 </w:t>
      </w:r>
      <w:r>
        <w:rPr>
          <w:rFonts w:hint="eastAsia" w:ascii="宋体" w:hAnsi="宋体" w:cs="宋体"/>
          <w:snapToGrid w:val="0"/>
          <w:color w:val="000000"/>
          <w:sz w:val="28"/>
          <w:highlight w:val="none"/>
        </w:rPr>
        <w:t>投标文件的密封与标志</w:t>
      </w:r>
    </w:p>
    <w:p w14:paraId="3B8512F5">
      <w:pPr>
        <w:pStyle w:val="8"/>
        <w:adjustRightInd w:val="0"/>
        <w:snapToGrid w:val="0"/>
        <w:spacing w:line="360" w:lineRule="auto"/>
        <w:ind w:firstLine="565" w:firstLineChars="202"/>
        <w:rPr>
          <w:rFonts w:hint="eastAsia" w:hAnsi="宋体" w:cs="宋体"/>
          <w:snapToGrid w:val="0"/>
          <w:color w:val="000000"/>
          <w:highlight w:val="none"/>
        </w:rPr>
      </w:pPr>
      <w:r>
        <w:rPr>
          <w:rFonts w:hint="eastAsia" w:hAnsi="宋体" w:cs="宋体"/>
          <w:snapToGrid w:val="0"/>
          <w:color w:val="000000"/>
          <w:highlight w:val="none"/>
          <w:lang w:val="en-US" w:eastAsia="zh-CN"/>
        </w:rPr>
        <w:t xml:space="preserve">11.1 </w:t>
      </w:r>
      <w:r>
        <w:rPr>
          <w:rFonts w:hint="eastAsia" w:ascii="宋体" w:hAnsi="宋体" w:eastAsia="宋体" w:cs="宋体"/>
          <w:snapToGrid w:val="0"/>
          <w:color w:val="000000"/>
          <w:sz w:val="28"/>
          <w:highlight w:val="none"/>
          <w:lang w:eastAsia="zh-CN"/>
        </w:rPr>
        <w:t>商务文件、技术</w:t>
      </w:r>
      <w:r>
        <w:rPr>
          <w:rFonts w:hint="eastAsia" w:ascii="宋体" w:hAnsi="宋体" w:eastAsia="宋体" w:cs="宋体"/>
          <w:snapToGrid w:val="0"/>
          <w:color w:val="000000"/>
          <w:sz w:val="28"/>
          <w:highlight w:val="none"/>
        </w:rPr>
        <w:t>文件</w:t>
      </w:r>
      <w:r>
        <w:rPr>
          <w:rFonts w:hint="eastAsia" w:hAnsi="宋体" w:cs="宋体"/>
          <w:snapToGrid w:val="0"/>
          <w:color w:val="000000"/>
          <w:highlight w:val="none"/>
          <w:lang w:eastAsia="zh-CN"/>
        </w:rPr>
        <w:t>封面需</w:t>
      </w:r>
      <w:r>
        <w:rPr>
          <w:rFonts w:hint="eastAsia" w:hAnsi="宋体" w:cs="宋体"/>
          <w:snapToGrid w:val="0"/>
          <w:color w:val="000000"/>
          <w:highlight w:val="none"/>
        </w:rPr>
        <w:t>标明相关标示。</w:t>
      </w:r>
    </w:p>
    <w:p w14:paraId="6C79BB10">
      <w:pPr>
        <w:tabs>
          <w:tab w:val="left" w:pos="0"/>
          <w:tab w:val="left" w:pos="993"/>
          <w:tab w:val="left" w:pos="1134"/>
        </w:tabs>
        <w:adjustRightInd w:val="0"/>
        <w:snapToGrid w:val="0"/>
        <w:spacing w:line="360" w:lineRule="auto"/>
        <w:ind w:firstLine="567"/>
        <w:rPr>
          <w:rFonts w:hint="eastAsia" w:ascii="宋体" w:hAnsi="宋体" w:cs="宋体"/>
          <w:snapToGrid w:val="0"/>
          <w:color w:val="000000"/>
          <w:sz w:val="28"/>
          <w:highlight w:val="none"/>
        </w:rPr>
      </w:pPr>
      <w:r>
        <w:rPr>
          <w:rFonts w:hint="eastAsia" w:ascii="宋体" w:hAnsi="宋体" w:cs="宋体"/>
          <w:snapToGrid w:val="0"/>
          <w:color w:val="000000"/>
          <w:sz w:val="28"/>
          <w:highlight w:val="none"/>
          <w:lang w:val="en-US" w:eastAsia="zh-CN"/>
        </w:rPr>
        <w:t xml:space="preserve">11.2 </w:t>
      </w:r>
      <w:r>
        <w:rPr>
          <w:rFonts w:hint="eastAsia" w:ascii="宋体" w:hAnsi="宋体" w:cs="宋体"/>
          <w:snapToGrid w:val="0"/>
          <w:color w:val="000000"/>
          <w:sz w:val="28"/>
          <w:highlight w:val="none"/>
        </w:rPr>
        <w:t>所有封袋上应写</w:t>
      </w:r>
      <w:r>
        <w:rPr>
          <w:rFonts w:hint="eastAsia" w:ascii="宋体" w:hAnsi="宋体" w:eastAsia="宋体" w:cs="宋体"/>
          <w:snapToGrid w:val="0"/>
          <w:color w:val="000000"/>
          <w:sz w:val="28"/>
          <w:highlight w:val="none"/>
        </w:rPr>
        <w:t>明招标人名称、工程名称</w:t>
      </w:r>
      <w:r>
        <w:rPr>
          <w:rFonts w:hint="eastAsia" w:ascii="宋体" w:hAnsi="宋体" w:eastAsia="宋体" w:cs="宋体"/>
          <w:snapToGrid w:val="0"/>
          <w:color w:val="000000"/>
          <w:sz w:val="28"/>
          <w:highlight w:val="none"/>
          <w:lang w:eastAsia="zh-CN"/>
        </w:rPr>
        <w:t>、</w:t>
      </w:r>
      <w:r>
        <w:rPr>
          <w:rFonts w:hint="eastAsia" w:ascii="宋体" w:hAnsi="宋体" w:eastAsia="宋体" w:cs="宋体"/>
          <w:snapToGrid w:val="0"/>
          <w:color w:val="000000"/>
          <w:sz w:val="28"/>
          <w:highlight w:val="none"/>
        </w:rPr>
        <w:t>标段</w:t>
      </w:r>
      <w:r>
        <w:rPr>
          <w:rFonts w:hint="eastAsia" w:ascii="宋体" w:hAnsi="宋体" w:eastAsia="宋体" w:cs="宋体"/>
          <w:snapToGrid w:val="0"/>
          <w:color w:val="000000"/>
          <w:sz w:val="28"/>
          <w:highlight w:val="none"/>
          <w:lang w:eastAsia="zh-CN"/>
        </w:rPr>
        <w:t>（如有）</w:t>
      </w:r>
      <w:r>
        <w:rPr>
          <w:rFonts w:hint="eastAsia" w:ascii="宋体" w:hAnsi="宋体" w:eastAsia="宋体" w:cs="宋体"/>
          <w:snapToGrid w:val="0"/>
          <w:color w:val="000000"/>
          <w:sz w:val="28"/>
          <w:highlight w:val="none"/>
        </w:rPr>
        <w:t>及投标人名称</w:t>
      </w:r>
      <w:r>
        <w:rPr>
          <w:rFonts w:hint="eastAsia" w:ascii="宋体" w:hAnsi="宋体" w:cs="宋体"/>
          <w:snapToGrid w:val="0"/>
          <w:color w:val="000000"/>
          <w:sz w:val="28"/>
          <w:highlight w:val="none"/>
        </w:rPr>
        <w:t>。</w:t>
      </w:r>
    </w:p>
    <w:p w14:paraId="2E82B5FE">
      <w:pPr>
        <w:tabs>
          <w:tab w:val="left" w:pos="0"/>
          <w:tab w:val="left" w:pos="993"/>
          <w:tab w:val="left" w:pos="1134"/>
        </w:tabs>
        <w:adjustRightInd w:val="0"/>
        <w:snapToGrid w:val="0"/>
        <w:spacing w:line="360" w:lineRule="auto"/>
        <w:ind w:firstLine="567"/>
        <w:rPr>
          <w:rFonts w:hint="eastAsia" w:ascii="宋体" w:hAnsi="宋体" w:eastAsia="宋体" w:cs="宋体"/>
          <w:snapToGrid w:val="0"/>
          <w:color w:val="000000"/>
          <w:sz w:val="28"/>
          <w:highlight w:val="none"/>
        </w:rPr>
      </w:pPr>
      <w:r>
        <w:rPr>
          <w:rFonts w:hint="eastAsia" w:ascii="宋体" w:hAnsi="宋体" w:cs="宋体"/>
          <w:snapToGrid w:val="0"/>
          <w:color w:val="000000"/>
          <w:sz w:val="28"/>
          <w:highlight w:val="none"/>
          <w:lang w:val="en-US" w:eastAsia="zh-CN"/>
        </w:rPr>
        <w:t xml:space="preserve">11.3 </w:t>
      </w:r>
      <w:r>
        <w:rPr>
          <w:rFonts w:hint="eastAsia" w:ascii="宋体" w:hAnsi="宋体"/>
          <w:snapToGrid w:val="0"/>
          <w:color w:val="000000"/>
          <w:sz w:val="28"/>
          <w:szCs w:val="28"/>
          <w:highlight w:val="none"/>
        </w:rPr>
        <w:t>所有投标文件都必须在封袋加盖投标单位公章及其法定</w:t>
      </w:r>
      <w:r>
        <w:rPr>
          <w:rFonts w:hint="eastAsia" w:ascii="宋体" w:hAnsi="宋体" w:eastAsia="宋体" w:cs="宋体"/>
          <w:snapToGrid w:val="0"/>
          <w:color w:val="000000"/>
          <w:sz w:val="28"/>
          <w:highlight w:val="none"/>
        </w:rPr>
        <w:t>代表人印鉴。</w:t>
      </w:r>
    </w:p>
    <w:p w14:paraId="7957F488">
      <w:pPr>
        <w:tabs>
          <w:tab w:val="left" w:pos="0"/>
          <w:tab w:val="left" w:pos="993"/>
          <w:tab w:val="left" w:pos="1134"/>
        </w:tabs>
        <w:adjustRightInd w:val="0"/>
        <w:snapToGrid w:val="0"/>
        <w:spacing w:line="360" w:lineRule="auto"/>
        <w:ind w:firstLine="567"/>
        <w:rPr>
          <w:rFonts w:hint="eastAsia" w:ascii="宋体" w:hAnsi="宋体" w:eastAsia="宋体" w:cs="宋体"/>
          <w:snapToGrid w:val="0"/>
          <w:color w:val="000000"/>
          <w:sz w:val="28"/>
          <w:highlight w:val="none"/>
          <w:lang w:eastAsia="zh-CN"/>
        </w:rPr>
      </w:pPr>
      <w:r>
        <w:rPr>
          <w:rFonts w:hint="eastAsia" w:ascii="宋体" w:hAnsi="宋体" w:eastAsia="宋体" w:cs="宋体"/>
          <w:snapToGrid w:val="0"/>
          <w:color w:val="000000"/>
          <w:sz w:val="28"/>
          <w:highlight w:val="none"/>
          <w:lang w:val="en-US" w:eastAsia="zh-CN"/>
        </w:rPr>
        <w:t xml:space="preserve">11.4 </w:t>
      </w:r>
      <w:r>
        <w:rPr>
          <w:rFonts w:hint="eastAsia" w:ascii="宋体" w:hAnsi="宋体" w:eastAsia="宋体" w:cs="宋体"/>
          <w:snapToGrid w:val="0"/>
          <w:color w:val="000000"/>
          <w:sz w:val="28"/>
          <w:highlight w:val="none"/>
        </w:rPr>
        <w:t>所有投标文件</w:t>
      </w:r>
      <w:r>
        <w:rPr>
          <w:rFonts w:hint="eastAsia" w:ascii="宋体" w:hAnsi="宋体" w:eastAsia="宋体" w:cs="宋体"/>
          <w:snapToGrid w:val="0"/>
          <w:color w:val="000000"/>
          <w:sz w:val="28"/>
          <w:highlight w:val="none"/>
          <w:lang w:eastAsia="zh-CN"/>
        </w:rPr>
        <w:t>（正、副）内页须按投标文件编制要求加盖投标人公章</w:t>
      </w:r>
      <w:r>
        <w:rPr>
          <w:rFonts w:hint="eastAsia" w:ascii="宋体" w:hAnsi="宋体"/>
          <w:snapToGrid w:val="0"/>
          <w:color w:val="000000"/>
          <w:sz w:val="28"/>
          <w:szCs w:val="28"/>
          <w:highlight w:val="none"/>
        </w:rPr>
        <w:t>及其法定</w:t>
      </w:r>
      <w:r>
        <w:rPr>
          <w:rFonts w:hint="eastAsia" w:ascii="宋体" w:hAnsi="宋体" w:eastAsia="宋体" w:cs="宋体"/>
          <w:snapToGrid w:val="0"/>
          <w:color w:val="000000"/>
          <w:sz w:val="28"/>
          <w:highlight w:val="none"/>
        </w:rPr>
        <w:t>代表人印鉴</w:t>
      </w:r>
      <w:r>
        <w:rPr>
          <w:rFonts w:hint="eastAsia" w:ascii="宋体" w:hAnsi="宋体" w:eastAsia="宋体" w:cs="宋体"/>
          <w:snapToGrid w:val="0"/>
          <w:color w:val="000000"/>
          <w:sz w:val="28"/>
          <w:highlight w:val="none"/>
          <w:lang w:eastAsia="zh-CN"/>
        </w:rPr>
        <w:t>（如有）。</w:t>
      </w:r>
    </w:p>
    <w:p w14:paraId="28723EB0">
      <w:pPr>
        <w:tabs>
          <w:tab w:val="left" w:pos="0"/>
          <w:tab w:val="left" w:pos="993"/>
          <w:tab w:val="left" w:pos="1134"/>
        </w:tabs>
        <w:adjustRightInd w:val="0"/>
        <w:snapToGrid w:val="0"/>
        <w:spacing w:line="360" w:lineRule="auto"/>
        <w:ind w:firstLine="567"/>
        <w:rPr>
          <w:rFonts w:hint="eastAsia" w:ascii="宋体" w:hAnsi="宋体" w:cs="宋体"/>
          <w:snapToGrid w:val="0"/>
          <w:color w:val="000000"/>
          <w:sz w:val="28"/>
          <w:highlight w:val="none"/>
        </w:rPr>
      </w:pPr>
      <w:r>
        <w:rPr>
          <w:rFonts w:hint="eastAsia" w:ascii="宋体" w:hAnsi="宋体" w:cs="宋体"/>
          <w:snapToGrid w:val="0"/>
          <w:color w:val="000000"/>
          <w:sz w:val="28"/>
          <w:highlight w:val="none"/>
          <w:lang w:eastAsia="zh-CN"/>
        </w:rPr>
        <w:t>第</w:t>
      </w:r>
      <w:r>
        <w:rPr>
          <w:rFonts w:hint="eastAsia" w:ascii="宋体" w:hAnsi="宋体" w:cs="宋体"/>
          <w:snapToGrid w:val="0"/>
          <w:color w:val="000000"/>
          <w:sz w:val="28"/>
          <w:highlight w:val="none"/>
          <w:lang w:val="en-US" w:eastAsia="zh-CN"/>
        </w:rPr>
        <w:t xml:space="preserve">12条 </w:t>
      </w:r>
      <w:r>
        <w:rPr>
          <w:rFonts w:hint="eastAsia" w:ascii="宋体" w:hAnsi="宋体" w:cs="宋体"/>
          <w:snapToGrid w:val="0"/>
          <w:color w:val="000000"/>
          <w:sz w:val="28"/>
          <w:highlight w:val="none"/>
        </w:rPr>
        <w:t>投标截止期</w:t>
      </w:r>
    </w:p>
    <w:p w14:paraId="135D5A38">
      <w:pPr>
        <w:numPr>
          <w:ilvl w:val="0"/>
          <w:numId w:val="0"/>
        </w:numPr>
        <w:tabs>
          <w:tab w:val="left" w:pos="0"/>
          <w:tab w:val="left" w:pos="1134"/>
        </w:tabs>
        <w:adjustRightInd w:val="0"/>
        <w:snapToGrid w:val="0"/>
        <w:spacing w:line="360" w:lineRule="auto"/>
        <w:ind w:left="0" w:firstLine="560" w:firstLineChars="200"/>
        <w:rPr>
          <w:rFonts w:hint="eastAsia" w:ascii="宋体" w:hAnsi="宋体" w:cs="宋体"/>
          <w:snapToGrid w:val="0"/>
          <w:color w:val="000000"/>
          <w:sz w:val="28"/>
          <w:highlight w:val="none"/>
        </w:rPr>
      </w:pPr>
      <w:r>
        <w:rPr>
          <w:rFonts w:hint="eastAsia" w:ascii="宋体" w:hAnsi="宋体" w:cs="宋体"/>
          <w:snapToGrid w:val="0"/>
          <w:color w:val="000000"/>
          <w:sz w:val="28"/>
          <w:highlight w:val="none"/>
          <w:lang w:val="en-US" w:eastAsia="zh-CN"/>
        </w:rPr>
        <w:t xml:space="preserve">12.1 </w:t>
      </w:r>
      <w:r>
        <w:rPr>
          <w:rFonts w:hint="eastAsia" w:ascii="宋体" w:hAnsi="宋体" w:cs="宋体"/>
          <w:snapToGrid w:val="0"/>
          <w:color w:val="000000"/>
          <w:sz w:val="28"/>
          <w:highlight w:val="none"/>
        </w:rPr>
        <w:t xml:space="preserve">投标人应在招标文件中规定的时间之前将投标文件递交到指定地点。招标人在接到投标文件时将在投标文件封袋上注明收到的日期和时间，并在投标签收登记簿登记。 </w:t>
      </w:r>
    </w:p>
    <w:p w14:paraId="2DFBCC01">
      <w:pPr>
        <w:numPr>
          <w:ilvl w:val="0"/>
          <w:numId w:val="0"/>
        </w:numPr>
        <w:tabs>
          <w:tab w:val="left" w:pos="0"/>
          <w:tab w:val="left" w:pos="993"/>
          <w:tab w:val="left" w:pos="1134"/>
        </w:tabs>
        <w:adjustRightInd w:val="0"/>
        <w:snapToGrid w:val="0"/>
        <w:spacing w:line="360" w:lineRule="auto"/>
        <w:ind w:left="0" w:firstLine="560" w:firstLineChars="200"/>
        <w:rPr>
          <w:rFonts w:hint="eastAsia" w:ascii="宋体" w:hAnsi="宋体" w:cs="宋体"/>
          <w:snapToGrid w:val="0"/>
          <w:color w:val="000000"/>
          <w:sz w:val="28"/>
          <w:highlight w:val="none"/>
        </w:rPr>
      </w:pPr>
      <w:r>
        <w:rPr>
          <w:rFonts w:hint="eastAsia" w:ascii="宋体" w:hAnsi="宋体" w:cs="宋体"/>
          <w:snapToGrid w:val="0"/>
          <w:color w:val="000000"/>
          <w:sz w:val="28"/>
          <w:highlight w:val="none"/>
          <w:lang w:val="en-US" w:eastAsia="zh-CN"/>
        </w:rPr>
        <w:t xml:space="preserve">12.2 </w:t>
      </w:r>
      <w:r>
        <w:rPr>
          <w:rFonts w:hint="eastAsia" w:ascii="宋体" w:hAnsi="宋体" w:cs="宋体"/>
          <w:snapToGrid w:val="0"/>
          <w:color w:val="000000"/>
          <w:sz w:val="28"/>
          <w:highlight w:val="none"/>
        </w:rPr>
        <w:t>招标人可以按本文件第（七）条规定以修改通知的方式，酌情延长递交投标文件的截止日期。在上述情况下，招标人与投标人以前的投标截止期方面的全部权力、责任和义务，将适用于延长后新的投标截止期。</w:t>
      </w:r>
    </w:p>
    <w:p w14:paraId="0E91BCD8">
      <w:pPr>
        <w:numPr>
          <w:ilvl w:val="0"/>
          <w:numId w:val="0"/>
        </w:numPr>
        <w:tabs>
          <w:tab w:val="left" w:pos="0"/>
          <w:tab w:val="left" w:pos="993"/>
          <w:tab w:val="left" w:pos="1134"/>
        </w:tabs>
        <w:adjustRightInd w:val="0"/>
        <w:snapToGrid w:val="0"/>
        <w:spacing w:line="360" w:lineRule="auto"/>
        <w:ind w:left="0" w:firstLine="560" w:firstLineChars="200"/>
        <w:rPr>
          <w:rFonts w:hint="eastAsia" w:ascii="宋体" w:hAnsi="宋体" w:cs="宋体"/>
          <w:snapToGrid w:val="0"/>
          <w:color w:val="000000"/>
          <w:sz w:val="28"/>
          <w:highlight w:val="none"/>
        </w:rPr>
      </w:pPr>
      <w:r>
        <w:rPr>
          <w:rFonts w:hint="eastAsia" w:ascii="宋体" w:hAnsi="宋体" w:cs="宋体"/>
          <w:snapToGrid w:val="0"/>
          <w:color w:val="000000"/>
          <w:sz w:val="28"/>
          <w:highlight w:val="none"/>
          <w:lang w:val="en-US" w:eastAsia="zh-CN"/>
        </w:rPr>
        <w:t xml:space="preserve">12.3 </w:t>
      </w:r>
      <w:r>
        <w:rPr>
          <w:rFonts w:hint="eastAsia" w:ascii="宋体" w:hAnsi="宋体" w:cs="宋体"/>
          <w:snapToGrid w:val="0"/>
          <w:color w:val="000000"/>
          <w:sz w:val="28"/>
          <w:highlight w:val="none"/>
        </w:rPr>
        <w:t>超过投标截止时间送达的投标文件将被拒绝并原封退给投标人。</w:t>
      </w:r>
    </w:p>
    <w:p w14:paraId="69763FE1">
      <w:pPr>
        <w:numPr>
          <w:ilvl w:val="0"/>
          <w:numId w:val="0"/>
        </w:numPr>
        <w:tabs>
          <w:tab w:val="left" w:pos="0"/>
          <w:tab w:val="left" w:pos="993"/>
          <w:tab w:val="left" w:pos="1134"/>
        </w:tabs>
        <w:adjustRightInd w:val="0"/>
        <w:snapToGrid w:val="0"/>
        <w:spacing w:line="360" w:lineRule="auto"/>
        <w:ind w:left="0" w:firstLine="560" w:firstLineChars="200"/>
        <w:rPr>
          <w:rFonts w:hint="eastAsia" w:ascii="宋体" w:hAnsi="宋体" w:cs="宋体"/>
          <w:snapToGrid w:val="0"/>
          <w:color w:val="000000"/>
          <w:sz w:val="28"/>
          <w:highlight w:val="none"/>
        </w:rPr>
      </w:pPr>
      <w:r>
        <w:rPr>
          <w:rFonts w:hint="eastAsia" w:ascii="宋体" w:hAnsi="宋体" w:cs="宋体"/>
          <w:snapToGrid w:val="0"/>
          <w:color w:val="000000"/>
          <w:sz w:val="28"/>
          <w:highlight w:val="none"/>
          <w:lang w:val="en-US" w:eastAsia="zh-CN"/>
        </w:rPr>
        <w:t xml:space="preserve">12.4 </w:t>
      </w:r>
      <w:r>
        <w:rPr>
          <w:rFonts w:hint="eastAsia" w:ascii="宋体" w:hAnsi="宋体" w:cs="宋体"/>
          <w:snapToGrid w:val="0"/>
          <w:color w:val="000000"/>
          <w:sz w:val="28"/>
          <w:highlight w:val="none"/>
        </w:rPr>
        <w:t>提交投标文件的投标人少于三个的，招标人将依法重新招标。</w:t>
      </w:r>
    </w:p>
    <w:p w14:paraId="76C31D9C">
      <w:pPr>
        <w:tabs>
          <w:tab w:val="left" w:pos="0"/>
          <w:tab w:val="left" w:pos="993"/>
          <w:tab w:val="left" w:pos="1134"/>
        </w:tabs>
        <w:adjustRightInd w:val="0"/>
        <w:snapToGrid w:val="0"/>
        <w:spacing w:line="360" w:lineRule="auto"/>
        <w:ind w:firstLine="560" w:firstLineChars="200"/>
        <w:rPr>
          <w:rFonts w:hint="eastAsia" w:ascii="宋体" w:hAnsi="宋体" w:cs="宋体"/>
          <w:snapToGrid w:val="0"/>
          <w:color w:val="000000"/>
          <w:sz w:val="28"/>
          <w:highlight w:val="none"/>
        </w:rPr>
      </w:pPr>
      <w:r>
        <w:rPr>
          <w:rFonts w:hint="eastAsia" w:ascii="宋体" w:hAnsi="宋体" w:cs="宋体"/>
          <w:snapToGrid w:val="0"/>
          <w:color w:val="000000"/>
          <w:sz w:val="28"/>
          <w:highlight w:val="none"/>
          <w:lang w:eastAsia="zh-CN"/>
        </w:rPr>
        <w:t>第</w:t>
      </w:r>
      <w:r>
        <w:rPr>
          <w:rFonts w:hint="eastAsia" w:ascii="宋体" w:hAnsi="宋体" w:cs="宋体"/>
          <w:snapToGrid w:val="0"/>
          <w:color w:val="000000"/>
          <w:sz w:val="28"/>
          <w:highlight w:val="none"/>
          <w:lang w:val="en-US" w:eastAsia="zh-CN"/>
        </w:rPr>
        <w:t xml:space="preserve">13条 </w:t>
      </w:r>
      <w:r>
        <w:rPr>
          <w:rFonts w:hint="eastAsia" w:ascii="宋体" w:hAnsi="宋体" w:cs="宋体"/>
          <w:snapToGrid w:val="0"/>
          <w:color w:val="000000"/>
          <w:sz w:val="28"/>
          <w:highlight w:val="none"/>
        </w:rPr>
        <w:t>投标文件的修改与撤回</w:t>
      </w:r>
    </w:p>
    <w:p w14:paraId="704D54A6">
      <w:pPr>
        <w:numPr>
          <w:ilvl w:val="0"/>
          <w:numId w:val="0"/>
        </w:numPr>
        <w:tabs>
          <w:tab w:val="left" w:pos="0"/>
          <w:tab w:val="left" w:pos="1134"/>
        </w:tabs>
        <w:adjustRightInd w:val="0"/>
        <w:snapToGrid w:val="0"/>
        <w:spacing w:line="360" w:lineRule="auto"/>
        <w:ind w:left="0" w:firstLine="560" w:firstLineChars="200"/>
        <w:rPr>
          <w:rFonts w:hint="eastAsia" w:ascii="宋体" w:hAnsi="宋体" w:cs="宋体"/>
          <w:snapToGrid w:val="0"/>
          <w:color w:val="000000"/>
          <w:sz w:val="28"/>
          <w:highlight w:val="none"/>
        </w:rPr>
      </w:pPr>
      <w:r>
        <w:rPr>
          <w:rFonts w:hint="eastAsia" w:ascii="宋体" w:hAnsi="宋体" w:cs="宋体"/>
          <w:snapToGrid w:val="0"/>
          <w:color w:val="000000"/>
          <w:sz w:val="28"/>
          <w:highlight w:val="none"/>
          <w:lang w:val="en-US" w:eastAsia="zh-CN"/>
        </w:rPr>
        <w:t xml:space="preserve">13.1 </w:t>
      </w:r>
      <w:r>
        <w:rPr>
          <w:rFonts w:hint="eastAsia" w:ascii="宋体" w:hAnsi="宋体" w:cs="宋体"/>
          <w:snapToGrid w:val="0"/>
          <w:color w:val="000000"/>
          <w:sz w:val="28"/>
          <w:highlight w:val="none"/>
        </w:rPr>
        <w:t>投标人可以在递交投标文件以后，在规定的投标截止期之前，可以补充、修改或者撤回已提交的投标文件。补充、修改的内容为投标文件的组成部分。在投标截止时间以后，不得更改、撤回投标文件。</w:t>
      </w:r>
    </w:p>
    <w:p w14:paraId="120A16D8">
      <w:pPr>
        <w:numPr>
          <w:ilvl w:val="0"/>
          <w:numId w:val="0"/>
        </w:numPr>
        <w:tabs>
          <w:tab w:val="left" w:pos="0"/>
          <w:tab w:val="left" w:pos="993"/>
          <w:tab w:val="left" w:pos="1134"/>
        </w:tabs>
        <w:adjustRightInd w:val="0"/>
        <w:snapToGrid w:val="0"/>
        <w:spacing w:line="360" w:lineRule="auto"/>
        <w:ind w:left="0" w:firstLine="560" w:firstLineChars="200"/>
        <w:rPr>
          <w:rFonts w:hint="eastAsia" w:ascii="宋体" w:hAnsi="宋体" w:cs="宋体"/>
          <w:snapToGrid w:val="0"/>
          <w:color w:val="000000"/>
          <w:sz w:val="28"/>
          <w:highlight w:val="none"/>
        </w:rPr>
      </w:pPr>
      <w:r>
        <w:rPr>
          <w:rFonts w:hint="eastAsia" w:ascii="宋体" w:hAnsi="宋体" w:cs="宋体"/>
          <w:snapToGrid w:val="0"/>
          <w:color w:val="000000"/>
          <w:sz w:val="28"/>
          <w:highlight w:val="none"/>
          <w:lang w:val="en-US" w:eastAsia="zh-CN"/>
        </w:rPr>
        <w:t xml:space="preserve">13.2 </w:t>
      </w:r>
      <w:r>
        <w:rPr>
          <w:rFonts w:hint="eastAsia" w:ascii="宋体" w:hAnsi="宋体" w:cs="宋体"/>
          <w:snapToGrid w:val="0"/>
          <w:color w:val="000000"/>
          <w:sz w:val="28"/>
          <w:highlight w:val="none"/>
        </w:rPr>
        <w:t>投标文件的修改应按本文件相关条款规定的要求编制、密封、标志和递交（密封袋上应标明“修改”字样）。</w:t>
      </w:r>
    </w:p>
    <w:p w14:paraId="6BEDF8A1">
      <w:pPr>
        <w:numPr>
          <w:ilvl w:val="0"/>
          <w:numId w:val="0"/>
        </w:numPr>
        <w:tabs>
          <w:tab w:val="left" w:pos="0"/>
          <w:tab w:val="left" w:pos="709"/>
        </w:tabs>
        <w:adjustRightInd w:val="0"/>
        <w:snapToGrid w:val="0"/>
        <w:spacing w:line="360" w:lineRule="auto"/>
        <w:ind w:left="0" w:firstLine="560" w:firstLineChars="200"/>
        <w:rPr>
          <w:rFonts w:hint="eastAsia" w:ascii="宋体" w:hAnsi="宋体" w:cs="宋体"/>
          <w:b/>
          <w:bCs/>
          <w:snapToGrid w:val="0"/>
          <w:color w:val="000000"/>
          <w:sz w:val="30"/>
          <w:highlight w:val="none"/>
        </w:rPr>
      </w:pPr>
      <w:r>
        <w:rPr>
          <w:rFonts w:hint="eastAsia" w:ascii="宋体" w:hAnsi="宋体" w:cs="宋体"/>
          <w:snapToGrid w:val="0"/>
          <w:color w:val="000000"/>
          <w:sz w:val="28"/>
          <w:highlight w:val="none"/>
          <w:lang w:val="en-US" w:eastAsia="zh-CN"/>
        </w:rPr>
        <w:t xml:space="preserve">13.3 </w:t>
      </w:r>
      <w:r>
        <w:rPr>
          <w:rFonts w:hint="eastAsia" w:ascii="宋体" w:hAnsi="宋体" w:cs="宋体"/>
          <w:snapToGrid w:val="0"/>
          <w:color w:val="000000"/>
          <w:sz w:val="28"/>
          <w:highlight w:val="none"/>
        </w:rPr>
        <w:t>投标截止以后,在投标有效期内，未确定中标人前，投标人不得撤回投标文件。</w:t>
      </w:r>
    </w:p>
    <w:p w14:paraId="2488ED3E">
      <w:pPr>
        <w:tabs>
          <w:tab w:val="left" w:pos="0"/>
          <w:tab w:val="left" w:pos="993"/>
          <w:tab w:val="left" w:pos="1134"/>
        </w:tabs>
        <w:adjustRightInd w:val="0"/>
        <w:snapToGrid w:val="0"/>
        <w:spacing w:line="360" w:lineRule="auto"/>
        <w:jc w:val="center"/>
        <w:rPr>
          <w:rFonts w:hint="eastAsia" w:ascii="宋体" w:hAnsi="宋体" w:cs="宋体"/>
          <w:snapToGrid w:val="0"/>
          <w:color w:val="000000"/>
          <w:sz w:val="28"/>
          <w:highlight w:val="none"/>
        </w:rPr>
      </w:pPr>
      <w:r>
        <w:rPr>
          <w:rFonts w:hint="eastAsia" w:ascii="宋体" w:hAnsi="宋体" w:cs="宋体"/>
          <w:b/>
          <w:bCs/>
          <w:snapToGrid w:val="0"/>
          <w:color w:val="000000"/>
          <w:sz w:val="30"/>
          <w:highlight w:val="none"/>
        </w:rPr>
        <w:t>六、开    标</w:t>
      </w:r>
    </w:p>
    <w:p w14:paraId="34A8A66C">
      <w:pPr>
        <w:tabs>
          <w:tab w:val="left" w:pos="0"/>
          <w:tab w:val="left" w:pos="993"/>
          <w:tab w:val="left" w:pos="1134"/>
        </w:tabs>
        <w:adjustRightInd w:val="0"/>
        <w:snapToGrid w:val="0"/>
        <w:spacing w:line="360" w:lineRule="auto"/>
        <w:ind w:firstLine="560" w:firstLineChars="200"/>
        <w:rPr>
          <w:rFonts w:hint="eastAsia" w:ascii="宋体" w:hAnsi="宋体" w:cs="宋体"/>
          <w:snapToGrid w:val="0"/>
          <w:color w:val="000000"/>
          <w:sz w:val="28"/>
          <w:highlight w:val="none"/>
        </w:rPr>
      </w:pPr>
      <w:r>
        <w:rPr>
          <w:rFonts w:hint="eastAsia" w:ascii="宋体" w:hAnsi="宋体" w:cs="宋体"/>
          <w:snapToGrid w:val="0"/>
          <w:color w:val="000000"/>
          <w:sz w:val="28"/>
          <w:highlight w:val="none"/>
          <w:lang w:eastAsia="zh-CN"/>
        </w:rPr>
        <w:t>第</w:t>
      </w:r>
      <w:r>
        <w:rPr>
          <w:rFonts w:hint="eastAsia" w:ascii="宋体" w:hAnsi="宋体" w:cs="宋体"/>
          <w:snapToGrid w:val="0"/>
          <w:color w:val="000000"/>
          <w:sz w:val="28"/>
          <w:highlight w:val="none"/>
          <w:lang w:val="en-US" w:eastAsia="zh-CN"/>
        </w:rPr>
        <w:t xml:space="preserve">14条 </w:t>
      </w:r>
      <w:r>
        <w:rPr>
          <w:rFonts w:hint="eastAsia" w:ascii="宋体" w:hAnsi="宋体" w:cs="宋体"/>
          <w:snapToGrid w:val="0"/>
          <w:color w:val="000000"/>
          <w:sz w:val="28"/>
          <w:highlight w:val="none"/>
        </w:rPr>
        <w:t>开标</w:t>
      </w:r>
    </w:p>
    <w:p w14:paraId="5778F87D">
      <w:pPr>
        <w:tabs>
          <w:tab w:val="left" w:pos="0"/>
          <w:tab w:val="left" w:pos="993"/>
          <w:tab w:val="left" w:pos="1134"/>
        </w:tabs>
        <w:adjustRightInd w:val="0"/>
        <w:snapToGrid w:val="0"/>
        <w:spacing w:line="360" w:lineRule="auto"/>
        <w:ind w:firstLine="560" w:firstLineChars="200"/>
        <w:rPr>
          <w:rFonts w:hint="eastAsia" w:ascii="宋体" w:hAnsi="宋体" w:cs="宋体"/>
          <w:snapToGrid w:val="0"/>
          <w:color w:val="000000"/>
          <w:sz w:val="28"/>
          <w:highlight w:val="none"/>
        </w:rPr>
      </w:pPr>
      <w:r>
        <w:rPr>
          <w:rFonts w:hint="eastAsia" w:ascii="宋体" w:hAnsi="宋体" w:cs="宋体"/>
          <w:snapToGrid w:val="0"/>
          <w:color w:val="000000"/>
          <w:sz w:val="28"/>
          <w:highlight w:val="none"/>
          <w:lang w:val="en-US" w:eastAsia="zh-CN"/>
        </w:rPr>
        <w:t xml:space="preserve">14.1 </w:t>
      </w:r>
      <w:r>
        <w:rPr>
          <w:rFonts w:hint="eastAsia" w:ascii="宋体" w:hAnsi="宋体"/>
          <w:snapToGrid w:val="0"/>
          <w:color w:val="000000"/>
          <w:sz w:val="28"/>
          <w:highlight w:val="none"/>
        </w:rPr>
        <w:t>招标人将按投标须知前附表的时间和地点举行开标会议</w:t>
      </w:r>
      <w:r>
        <w:rPr>
          <w:rFonts w:hint="eastAsia" w:ascii="宋体" w:hAnsi="宋体" w:cs="宋体"/>
          <w:color w:val="000000"/>
          <w:spacing w:val="8"/>
          <w:sz w:val="28"/>
          <w:highlight w:val="none"/>
        </w:rPr>
        <w:t>。</w:t>
      </w:r>
    </w:p>
    <w:p w14:paraId="7B3E7796">
      <w:pPr>
        <w:tabs>
          <w:tab w:val="left" w:pos="0"/>
          <w:tab w:val="left" w:pos="993"/>
          <w:tab w:val="left" w:pos="1134"/>
        </w:tabs>
        <w:adjustRightInd w:val="0"/>
        <w:snapToGrid w:val="0"/>
        <w:spacing w:line="360" w:lineRule="auto"/>
        <w:ind w:firstLine="560" w:firstLineChars="200"/>
        <w:rPr>
          <w:rFonts w:hint="eastAsia" w:ascii="宋体" w:hAnsi="宋体" w:cs="宋体"/>
          <w:snapToGrid w:val="0"/>
          <w:color w:val="000000"/>
          <w:sz w:val="28"/>
          <w:highlight w:val="none"/>
        </w:rPr>
      </w:pPr>
      <w:r>
        <w:rPr>
          <w:rFonts w:hint="eastAsia" w:ascii="宋体" w:hAnsi="宋体" w:cs="宋体"/>
          <w:snapToGrid w:val="0"/>
          <w:color w:val="000000"/>
          <w:sz w:val="28"/>
          <w:highlight w:val="none"/>
          <w:lang w:val="en-US" w:eastAsia="zh-CN"/>
        </w:rPr>
        <w:t xml:space="preserve">14.2 </w:t>
      </w:r>
      <w:r>
        <w:rPr>
          <w:rFonts w:hint="eastAsia" w:ascii="宋体" w:hAnsi="宋体" w:cs="宋体"/>
          <w:snapToGrid w:val="0"/>
          <w:color w:val="000000"/>
          <w:sz w:val="28"/>
          <w:highlight w:val="none"/>
        </w:rPr>
        <w:t>开标一般程序</w:t>
      </w:r>
    </w:p>
    <w:p w14:paraId="209E94B9">
      <w:pPr>
        <w:tabs>
          <w:tab w:val="left" w:pos="0"/>
          <w:tab w:val="left" w:pos="1134"/>
        </w:tabs>
        <w:adjustRightInd w:val="0"/>
        <w:snapToGrid w:val="0"/>
        <w:spacing w:line="360" w:lineRule="auto"/>
        <w:ind w:firstLine="560" w:firstLineChars="200"/>
        <w:rPr>
          <w:rFonts w:hint="eastAsia" w:ascii="宋体" w:hAnsi="宋体" w:cs="宋体"/>
          <w:snapToGrid w:val="0"/>
          <w:color w:val="000000"/>
          <w:sz w:val="28"/>
          <w:highlight w:val="none"/>
        </w:rPr>
      </w:pPr>
      <w:r>
        <w:rPr>
          <w:rFonts w:hint="eastAsia" w:ascii="宋体" w:hAnsi="宋体" w:cs="宋体"/>
          <w:snapToGrid w:val="0"/>
          <w:color w:val="000000"/>
          <w:sz w:val="28"/>
          <w:highlight w:val="none"/>
          <w:lang w:eastAsia="zh-CN"/>
        </w:rPr>
        <w:t>(1)</w:t>
      </w:r>
      <w:r>
        <w:rPr>
          <w:rFonts w:hint="eastAsia" w:ascii="宋体" w:hAnsi="宋体" w:cs="宋体"/>
          <w:snapToGrid w:val="0"/>
          <w:color w:val="000000"/>
          <w:sz w:val="28"/>
          <w:highlight w:val="none"/>
        </w:rPr>
        <w:t>招标人在招标文件要求提交投标文件的截止时间前收到的所有符合招标文件密封要求的投标文件，经确认无误后，开标时都将当众予以拆封，宣读、记录投标人名称、投标价格和其他招标人认为有必要的内容。</w:t>
      </w:r>
    </w:p>
    <w:p w14:paraId="09051239">
      <w:pPr>
        <w:tabs>
          <w:tab w:val="left" w:pos="0"/>
          <w:tab w:val="left" w:pos="1134"/>
        </w:tabs>
        <w:adjustRightInd w:val="0"/>
        <w:snapToGrid w:val="0"/>
        <w:spacing w:line="360" w:lineRule="auto"/>
        <w:ind w:firstLine="560" w:firstLineChars="200"/>
        <w:rPr>
          <w:rFonts w:hint="eastAsia" w:ascii="宋体" w:hAnsi="宋体" w:cs="宋体"/>
          <w:snapToGrid w:val="0"/>
          <w:color w:val="000000"/>
          <w:sz w:val="28"/>
          <w:highlight w:val="none"/>
        </w:rPr>
      </w:pPr>
      <w:r>
        <w:rPr>
          <w:rFonts w:hint="eastAsia" w:ascii="宋体" w:hAnsi="宋体" w:cs="宋体"/>
          <w:snapToGrid w:val="0"/>
          <w:color w:val="000000"/>
          <w:sz w:val="28"/>
          <w:highlight w:val="none"/>
          <w:lang w:eastAsia="zh-CN"/>
        </w:rPr>
        <w:t>(2)</w:t>
      </w:r>
      <w:r>
        <w:rPr>
          <w:rFonts w:hint="eastAsia" w:ascii="宋体" w:hAnsi="宋体" w:cs="宋体"/>
          <w:snapToGrid w:val="0"/>
          <w:color w:val="000000"/>
          <w:sz w:val="28"/>
          <w:highlight w:val="none"/>
        </w:rPr>
        <w:t>在开标时，投标文件出现下列情形之一的，将作为无效投标文件，不得进入评标：</w:t>
      </w:r>
    </w:p>
    <w:p w14:paraId="602573C9">
      <w:pPr>
        <w:tabs>
          <w:tab w:val="left" w:pos="0"/>
          <w:tab w:val="left" w:pos="1134"/>
        </w:tabs>
        <w:adjustRightInd w:val="0"/>
        <w:snapToGrid w:val="0"/>
        <w:spacing w:line="360" w:lineRule="auto"/>
        <w:ind w:firstLine="560" w:firstLineChars="200"/>
        <w:rPr>
          <w:rFonts w:hint="eastAsia" w:ascii="宋体" w:hAnsi="宋体" w:cs="宋体"/>
          <w:snapToGrid w:val="0"/>
          <w:color w:val="000000"/>
          <w:sz w:val="28"/>
          <w:highlight w:val="none"/>
        </w:rPr>
      </w:pPr>
      <w:r>
        <w:rPr>
          <w:rFonts w:hint="eastAsia" w:ascii="宋体" w:hAnsi="宋体" w:cs="宋体"/>
          <w:snapToGrid w:val="0"/>
          <w:color w:val="000000"/>
          <w:sz w:val="28"/>
          <w:highlight w:val="none"/>
        </w:rPr>
        <w:t>1）投标文件未按照招标文件的要求予以密封的；</w:t>
      </w:r>
    </w:p>
    <w:p w14:paraId="5C416879">
      <w:pPr>
        <w:tabs>
          <w:tab w:val="left" w:pos="0"/>
          <w:tab w:val="left" w:pos="1134"/>
        </w:tabs>
        <w:adjustRightInd w:val="0"/>
        <w:snapToGrid w:val="0"/>
        <w:spacing w:line="360" w:lineRule="auto"/>
        <w:ind w:firstLine="560" w:firstLineChars="200"/>
        <w:rPr>
          <w:rFonts w:hint="eastAsia" w:ascii="宋体" w:hAnsi="宋体" w:cs="宋体"/>
          <w:snapToGrid w:val="0"/>
          <w:color w:val="000000"/>
          <w:sz w:val="28"/>
          <w:highlight w:val="none"/>
        </w:rPr>
      </w:pPr>
      <w:r>
        <w:rPr>
          <w:rFonts w:hint="eastAsia" w:ascii="宋体" w:hAnsi="宋体" w:cs="宋体"/>
          <w:snapToGrid w:val="0"/>
          <w:color w:val="000000"/>
          <w:sz w:val="28"/>
          <w:highlight w:val="none"/>
        </w:rPr>
        <w:t>2）投标文件中的投标函未加盖投标人的企业及企业法定代表人印章的，或者企业法定代表人委托代理人没有合法、有效的委托书（原件）及委托代理人</w:t>
      </w:r>
      <w:r>
        <w:rPr>
          <w:rFonts w:hint="eastAsia" w:ascii="宋体" w:hAnsi="宋体" w:cs="宋体"/>
          <w:snapToGrid w:val="0"/>
          <w:color w:val="000000"/>
          <w:sz w:val="28"/>
          <w:highlight w:val="none"/>
          <w:lang w:eastAsia="zh-CN"/>
        </w:rPr>
        <w:t>签字</w:t>
      </w:r>
      <w:r>
        <w:rPr>
          <w:rFonts w:hint="eastAsia" w:ascii="宋体" w:hAnsi="宋体" w:cs="宋体"/>
          <w:snapToGrid w:val="0"/>
          <w:color w:val="000000"/>
          <w:sz w:val="28"/>
          <w:highlight w:val="none"/>
        </w:rPr>
        <w:t>的；</w:t>
      </w:r>
    </w:p>
    <w:p w14:paraId="49BD088D">
      <w:pPr>
        <w:tabs>
          <w:tab w:val="left" w:pos="0"/>
          <w:tab w:val="left" w:pos="1134"/>
        </w:tabs>
        <w:adjustRightInd w:val="0"/>
        <w:snapToGrid w:val="0"/>
        <w:spacing w:line="360" w:lineRule="auto"/>
        <w:ind w:firstLine="560" w:firstLineChars="200"/>
        <w:rPr>
          <w:rFonts w:hint="eastAsia" w:ascii="宋体" w:hAnsi="宋体" w:cs="宋体"/>
          <w:snapToGrid w:val="0"/>
          <w:color w:val="000000"/>
          <w:sz w:val="28"/>
          <w:highlight w:val="none"/>
        </w:rPr>
      </w:pPr>
      <w:r>
        <w:rPr>
          <w:rFonts w:hint="eastAsia" w:ascii="宋体" w:hAnsi="宋体" w:cs="宋体"/>
          <w:snapToGrid w:val="0"/>
          <w:color w:val="000000"/>
          <w:sz w:val="28"/>
          <w:highlight w:val="none"/>
        </w:rPr>
        <w:t>3）投标文件的关键内容字迹模糊、无法辨认的；</w:t>
      </w:r>
    </w:p>
    <w:p w14:paraId="4512CF67">
      <w:pPr>
        <w:tabs>
          <w:tab w:val="left" w:pos="0"/>
          <w:tab w:val="left" w:pos="1134"/>
        </w:tabs>
        <w:adjustRightInd w:val="0"/>
        <w:snapToGrid w:val="0"/>
        <w:spacing w:line="360" w:lineRule="auto"/>
        <w:ind w:firstLine="560" w:firstLineChars="200"/>
        <w:rPr>
          <w:rFonts w:hint="eastAsia" w:ascii="宋体" w:hAnsi="宋体" w:cs="宋体"/>
          <w:snapToGrid w:val="0"/>
          <w:color w:val="000000"/>
          <w:sz w:val="28"/>
          <w:highlight w:val="none"/>
        </w:rPr>
      </w:pPr>
      <w:r>
        <w:rPr>
          <w:rFonts w:hint="eastAsia" w:ascii="宋体" w:hAnsi="宋体" w:cs="宋体"/>
          <w:snapToGrid w:val="0"/>
          <w:color w:val="000000"/>
          <w:sz w:val="28"/>
          <w:highlight w:val="none"/>
        </w:rPr>
        <w:t>4）投标人未按照招标文件的要求提供必须提交的相关资料的。</w:t>
      </w:r>
    </w:p>
    <w:p w14:paraId="0E76610F">
      <w:pPr>
        <w:tabs>
          <w:tab w:val="left" w:pos="0"/>
          <w:tab w:val="left" w:pos="993"/>
          <w:tab w:val="left" w:pos="1134"/>
        </w:tabs>
        <w:adjustRightInd w:val="0"/>
        <w:snapToGrid w:val="0"/>
        <w:spacing w:line="360" w:lineRule="auto"/>
        <w:ind w:firstLine="560" w:firstLineChars="200"/>
        <w:rPr>
          <w:rFonts w:hint="default" w:ascii="宋体" w:hAnsi="宋体" w:eastAsia="宋体" w:cs="宋体"/>
          <w:snapToGrid w:val="0"/>
          <w:color w:val="000000"/>
          <w:sz w:val="30"/>
          <w:highlight w:val="none"/>
          <w:lang w:val="en-US" w:eastAsia="zh-CN"/>
        </w:rPr>
      </w:pPr>
      <w:r>
        <w:rPr>
          <w:rFonts w:hint="eastAsia" w:ascii="宋体" w:hAnsi="宋体" w:cs="宋体"/>
          <w:snapToGrid w:val="0"/>
          <w:color w:val="000000"/>
          <w:sz w:val="28"/>
          <w:highlight w:val="none"/>
        </w:rPr>
        <w:t>5）</w:t>
      </w:r>
      <w:r>
        <w:rPr>
          <w:rFonts w:hint="eastAsia" w:ascii="宋体" w:hAnsi="宋体" w:cs="宋体"/>
          <w:snapToGrid w:val="0"/>
          <w:color w:val="000000"/>
          <w:sz w:val="28"/>
          <w:highlight w:val="none"/>
          <w:lang w:val="en-US" w:eastAsia="zh-CN"/>
        </w:rPr>
        <w:t>本工程不接受联合体</w:t>
      </w:r>
    </w:p>
    <w:p w14:paraId="64223E80">
      <w:pPr>
        <w:tabs>
          <w:tab w:val="left" w:pos="0"/>
          <w:tab w:val="left" w:pos="993"/>
          <w:tab w:val="left" w:pos="1134"/>
        </w:tabs>
        <w:adjustRightInd w:val="0"/>
        <w:snapToGrid w:val="0"/>
        <w:spacing w:line="360" w:lineRule="auto"/>
        <w:jc w:val="center"/>
        <w:rPr>
          <w:rFonts w:hint="eastAsia" w:ascii="宋体" w:hAnsi="宋体" w:cs="宋体"/>
          <w:snapToGrid w:val="0"/>
          <w:color w:val="000000"/>
          <w:sz w:val="18"/>
          <w:highlight w:val="none"/>
        </w:rPr>
      </w:pPr>
      <w:r>
        <w:rPr>
          <w:rFonts w:hint="eastAsia" w:ascii="宋体" w:hAnsi="宋体" w:cs="宋体"/>
          <w:b/>
          <w:snapToGrid w:val="0"/>
          <w:color w:val="000000"/>
          <w:sz w:val="30"/>
          <w:highlight w:val="none"/>
        </w:rPr>
        <w:t>七、评   标、定   标</w:t>
      </w:r>
    </w:p>
    <w:p w14:paraId="04411514">
      <w:pPr>
        <w:tabs>
          <w:tab w:val="left" w:pos="0"/>
          <w:tab w:val="left" w:pos="993"/>
          <w:tab w:val="left" w:pos="1134"/>
        </w:tabs>
        <w:adjustRightInd w:val="0"/>
        <w:snapToGrid w:val="0"/>
        <w:spacing w:line="360" w:lineRule="auto"/>
        <w:ind w:firstLine="560" w:firstLineChars="200"/>
        <w:rPr>
          <w:rFonts w:hint="eastAsia" w:ascii="宋体" w:hAnsi="宋体" w:cs="宋体"/>
          <w:snapToGrid w:val="0"/>
          <w:color w:val="000000"/>
          <w:sz w:val="28"/>
          <w:highlight w:val="none"/>
        </w:rPr>
      </w:pPr>
      <w:r>
        <w:rPr>
          <w:rFonts w:hint="eastAsia" w:ascii="宋体" w:hAnsi="宋体" w:cs="宋体"/>
          <w:snapToGrid w:val="0"/>
          <w:color w:val="000000"/>
          <w:sz w:val="28"/>
          <w:highlight w:val="none"/>
          <w:lang w:eastAsia="zh-CN"/>
        </w:rPr>
        <w:t>第</w:t>
      </w:r>
      <w:r>
        <w:rPr>
          <w:rFonts w:hint="eastAsia" w:ascii="宋体" w:hAnsi="宋体" w:cs="宋体"/>
          <w:snapToGrid w:val="0"/>
          <w:color w:val="000000"/>
          <w:sz w:val="28"/>
          <w:highlight w:val="none"/>
          <w:lang w:val="en-US" w:eastAsia="zh-CN"/>
        </w:rPr>
        <w:t xml:space="preserve">15条 </w:t>
      </w:r>
      <w:r>
        <w:rPr>
          <w:rFonts w:hint="eastAsia" w:ascii="宋体" w:hAnsi="宋体" w:cs="宋体"/>
          <w:snapToGrid w:val="0"/>
          <w:color w:val="000000"/>
          <w:sz w:val="28"/>
          <w:highlight w:val="none"/>
        </w:rPr>
        <w:t>评标</w:t>
      </w:r>
    </w:p>
    <w:p w14:paraId="3FE88AB7">
      <w:pPr>
        <w:tabs>
          <w:tab w:val="left" w:pos="0"/>
          <w:tab w:val="left" w:pos="1134"/>
        </w:tabs>
        <w:adjustRightInd w:val="0"/>
        <w:snapToGrid w:val="0"/>
        <w:spacing w:line="360" w:lineRule="auto"/>
        <w:ind w:firstLine="560" w:firstLineChars="200"/>
        <w:rPr>
          <w:rFonts w:hint="eastAsia" w:ascii="宋体" w:hAnsi="宋体" w:cs="宋体"/>
          <w:snapToGrid w:val="0"/>
          <w:color w:val="000000"/>
          <w:sz w:val="28"/>
          <w:highlight w:val="none"/>
        </w:rPr>
      </w:pPr>
      <w:r>
        <w:rPr>
          <w:rFonts w:hint="eastAsia" w:ascii="宋体" w:hAnsi="宋体" w:cs="宋体"/>
          <w:snapToGrid w:val="0"/>
          <w:color w:val="000000"/>
          <w:sz w:val="28"/>
          <w:highlight w:val="none"/>
          <w:lang w:val="en-US" w:eastAsia="zh-CN"/>
        </w:rPr>
        <w:t xml:space="preserve">15.1 </w:t>
      </w:r>
      <w:r>
        <w:rPr>
          <w:rFonts w:hint="eastAsia" w:ascii="宋体" w:hAnsi="宋体" w:cs="宋体"/>
          <w:snapToGrid w:val="0"/>
          <w:color w:val="000000"/>
          <w:sz w:val="28"/>
          <w:highlight w:val="none"/>
        </w:rPr>
        <w:t>评标工作</w:t>
      </w:r>
    </w:p>
    <w:p w14:paraId="61F79A50">
      <w:pPr>
        <w:pStyle w:val="8"/>
        <w:adjustRightInd w:val="0"/>
        <w:snapToGrid w:val="0"/>
        <w:spacing w:line="360" w:lineRule="auto"/>
        <w:rPr>
          <w:rFonts w:hint="eastAsia" w:hAnsi="宋体" w:cs="宋体"/>
          <w:color w:val="000000"/>
          <w:highlight w:val="none"/>
          <w:u w:val="single"/>
        </w:rPr>
      </w:pPr>
      <w:r>
        <w:rPr>
          <w:rFonts w:hint="eastAsia" w:hAnsi="宋体" w:cs="宋体"/>
          <w:snapToGrid w:val="0"/>
          <w:color w:val="000000"/>
          <w:highlight w:val="none"/>
        </w:rPr>
        <w:t>评审工作小组应认真阅读招标文件，严格依据国家和省市有关招标投标的法律法规精神和本招标文件进行评审，依法独立评标，不得带有任何倾向性，客观、公正地履行职务，对所提出的评审意见承担个人责任。评委会对文件有疑问 的应向招标人提出，在充分熟悉和把握招标文件和相关法律法规的前提下进行评标工作。</w:t>
      </w:r>
    </w:p>
    <w:p w14:paraId="4A9A42D6">
      <w:pPr>
        <w:tabs>
          <w:tab w:val="left" w:pos="0"/>
          <w:tab w:val="left" w:pos="1134"/>
        </w:tabs>
        <w:adjustRightInd w:val="0"/>
        <w:snapToGrid w:val="0"/>
        <w:spacing w:line="360" w:lineRule="auto"/>
        <w:ind w:firstLine="560" w:firstLineChars="200"/>
        <w:rPr>
          <w:rFonts w:hint="default" w:ascii="宋体" w:hAnsi="宋体" w:eastAsia="宋体" w:cs="宋体"/>
          <w:b w:val="0"/>
          <w:bCs w:val="0"/>
          <w:snapToGrid w:val="0"/>
          <w:color w:val="000000"/>
          <w:sz w:val="28"/>
          <w:highlight w:val="none"/>
        </w:rPr>
      </w:pPr>
      <w:r>
        <w:rPr>
          <w:rFonts w:hint="default" w:ascii="宋体" w:hAnsi="宋体" w:eastAsia="宋体" w:cs="宋体"/>
          <w:b w:val="0"/>
          <w:bCs w:val="0"/>
          <w:snapToGrid w:val="0"/>
          <w:color w:val="000000"/>
          <w:sz w:val="28"/>
          <w:highlight w:val="none"/>
          <w:lang w:val="en-US" w:eastAsia="zh-CN"/>
        </w:rPr>
        <w:t xml:space="preserve">15.2 </w:t>
      </w:r>
      <w:r>
        <w:rPr>
          <w:rFonts w:hint="default" w:ascii="宋体" w:hAnsi="宋体" w:eastAsia="宋体" w:cs="宋体"/>
          <w:snapToGrid w:val="0"/>
          <w:color w:val="000000"/>
          <w:sz w:val="28"/>
          <w:highlight w:val="none"/>
        </w:rPr>
        <w:t>重大偏差</w:t>
      </w:r>
    </w:p>
    <w:p w14:paraId="6CAC6956">
      <w:pPr>
        <w:pStyle w:val="8"/>
        <w:adjustRightInd w:val="0"/>
        <w:snapToGrid w:val="0"/>
        <w:spacing w:line="360" w:lineRule="auto"/>
        <w:rPr>
          <w:rFonts w:hint="eastAsia" w:hAnsi="宋体" w:cs="宋体"/>
          <w:snapToGrid w:val="0"/>
          <w:color w:val="000000"/>
          <w:highlight w:val="none"/>
        </w:rPr>
      </w:pPr>
      <w:r>
        <w:rPr>
          <w:rFonts w:hint="eastAsia" w:hAnsi="宋体" w:cs="宋体"/>
          <w:snapToGrid w:val="0"/>
          <w:color w:val="000000"/>
          <w:highlight w:val="none"/>
        </w:rPr>
        <w:t>投标文件有下述情形之一的，属于重大偏差，视为未能对招标文件做出实质性响应，作废标处理：</w:t>
      </w:r>
    </w:p>
    <w:p w14:paraId="6F6F128A">
      <w:pPr>
        <w:pStyle w:val="8"/>
        <w:adjustRightInd w:val="0"/>
        <w:snapToGrid w:val="0"/>
        <w:spacing w:line="360" w:lineRule="auto"/>
        <w:ind w:firstLine="560" w:firstLineChars="200"/>
        <w:rPr>
          <w:rFonts w:hint="eastAsia" w:hAnsi="宋体" w:cs="宋体"/>
          <w:snapToGrid w:val="0"/>
          <w:color w:val="000000"/>
          <w:szCs w:val="36"/>
          <w:highlight w:val="none"/>
        </w:rPr>
      </w:pPr>
      <w:r>
        <w:rPr>
          <w:rFonts w:hint="eastAsia" w:hAnsi="宋体" w:cs="宋体"/>
          <w:snapToGrid w:val="0"/>
          <w:color w:val="000000"/>
          <w:szCs w:val="36"/>
          <w:highlight w:val="none"/>
          <w:lang w:eastAsia="zh-CN"/>
        </w:rPr>
        <w:t>(1)</w:t>
      </w:r>
      <w:r>
        <w:rPr>
          <w:rFonts w:hint="eastAsia" w:hAnsi="宋体" w:cs="宋体"/>
          <w:snapToGrid w:val="0"/>
          <w:color w:val="000000"/>
          <w:szCs w:val="36"/>
          <w:highlight w:val="none"/>
        </w:rPr>
        <w:t>投标文件中的投标函未加盖投标人的公章及企业法定代表人印章的，或者企业法定代表人委托代理人没有合法、有效的委托书（原件）及委托代理人印章的；</w:t>
      </w:r>
    </w:p>
    <w:p w14:paraId="0843CADD">
      <w:pPr>
        <w:pStyle w:val="8"/>
        <w:adjustRightInd w:val="0"/>
        <w:snapToGrid w:val="0"/>
        <w:spacing w:line="360" w:lineRule="auto"/>
        <w:ind w:firstLine="560" w:firstLineChars="200"/>
        <w:rPr>
          <w:rFonts w:hint="eastAsia" w:hAnsi="宋体" w:cs="宋体"/>
          <w:snapToGrid w:val="0"/>
          <w:color w:val="000000"/>
          <w:szCs w:val="36"/>
          <w:highlight w:val="none"/>
        </w:rPr>
      </w:pPr>
      <w:r>
        <w:rPr>
          <w:rFonts w:hint="eastAsia" w:hAnsi="宋体" w:cs="宋体"/>
          <w:snapToGrid w:val="0"/>
          <w:color w:val="000000"/>
          <w:szCs w:val="36"/>
          <w:highlight w:val="none"/>
          <w:lang w:eastAsia="zh-CN"/>
        </w:rPr>
        <w:t>(2)</w:t>
      </w:r>
      <w:r>
        <w:rPr>
          <w:rFonts w:hint="eastAsia" w:hAnsi="宋体" w:cs="宋体"/>
          <w:snapToGrid w:val="0"/>
          <w:color w:val="000000"/>
          <w:szCs w:val="36"/>
          <w:highlight w:val="none"/>
        </w:rPr>
        <w:t xml:space="preserve">未按招标文件规定的格式填写，内容不全或关键字迹模糊、无法辨认的； </w:t>
      </w:r>
    </w:p>
    <w:p w14:paraId="21C9F031">
      <w:pPr>
        <w:pStyle w:val="8"/>
        <w:adjustRightInd w:val="0"/>
        <w:snapToGrid w:val="0"/>
        <w:spacing w:line="360" w:lineRule="auto"/>
        <w:ind w:firstLine="560" w:firstLineChars="200"/>
        <w:rPr>
          <w:rFonts w:hint="eastAsia" w:hAnsi="宋体" w:cs="宋体"/>
          <w:snapToGrid w:val="0"/>
          <w:color w:val="000000"/>
          <w:szCs w:val="36"/>
          <w:highlight w:val="none"/>
        </w:rPr>
      </w:pPr>
      <w:r>
        <w:rPr>
          <w:rFonts w:hint="eastAsia" w:hAnsi="宋体" w:cs="宋体"/>
          <w:snapToGrid w:val="0"/>
          <w:color w:val="000000"/>
          <w:szCs w:val="36"/>
          <w:highlight w:val="none"/>
          <w:lang w:eastAsia="zh-CN"/>
        </w:rPr>
        <w:t>(3)</w:t>
      </w:r>
      <w:r>
        <w:rPr>
          <w:rFonts w:hint="eastAsia" w:hAnsi="宋体" w:cs="宋体"/>
          <w:snapToGrid w:val="0"/>
          <w:color w:val="000000"/>
          <w:szCs w:val="36"/>
          <w:highlight w:val="none"/>
        </w:rPr>
        <w:t xml:space="preserve">投标人递交两份或多份内容不同的投标文件，或在一份投标文件中对同一招标项目报有两个或多个报价，且未声明哪一个有效，按招标文件规定提交备选投标方案的除外； </w:t>
      </w:r>
    </w:p>
    <w:p w14:paraId="76AE6183">
      <w:pPr>
        <w:pStyle w:val="8"/>
        <w:adjustRightInd w:val="0"/>
        <w:snapToGrid w:val="0"/>
        <w:spacing w:line="360" w:lineRule="auto"/>
        <w:ind w:firstLine="560" w:firstLineChars="200"/>
        <w:rPr>
          <w:rFonts w:hint="eastAsia" w:hAnsi="宋体" w:cs="宋体"/>
          <w:snapToGrid w:val="0"/>
          <w:color w:val="000000"/>
          <w:szCs w:val="36"/>
          <w:highlight w:val="none"/>
        </w:rPr>
      </w:pPr>
      <w:r>
        <w:rPr>
          <w:rFonts w:hint="eastAsia" w:hAnsi="宋体" w:cs="宋体"/>
          <w:snapToGrid w:val="0"/>
          <w:color w:val="000000"/>
          <w:szCs w:val="36"/>
          <w:highlight w:val="none"/>
          <w:lang w:eastAsia="zh-CN"/>
        </w:rPr>
        <w:t>(4)</w:t>
      </w:r>
      <w:r>
        <w:rPr>
          <w:rFonts w:hint="eastAsia" w:hAnsi="宋体" w:cs="宋体"/>
          <w:snapToGrid w:val="0"/>
          <w:color w:val="000000"/>
          <w:szCs w:val="36"/>
          <w:highlight w:val="none"/>
        </w:rPr>
        <w:t>投标人名称或组织结构与资格预审时不一致的；</w:t>
      </w:r>
    </w:p>
    <w:p w14:paraId="2500DBBB">
      <w:pPr>
        <w:pStyle w:val="8"/>
        <w:adjustRightInd w:val="0"/>
        <w:snapToGrid w:val="0"/>
        <w:spacing w:line="360" w:lineRule="auto"/>
        <w:ind w:firstLine="560" w:firstLineChars="200"/>
        <w:rPr>
          <w:rFonts w:hint="eastAsia" w:hAnsi="宋体" w:cs="宋体"/>
          <w:snapToGrid w:val="0"/>
          <w:color w:val="000000"/>
          <w:szCs w:val="36"/>
          <w:highlight w:val="none"/>
        </w:rPr>
      </w:pPr>
      <w:r>
        <w:rPr>
          <w:rFonts w:hint="eastAsia" w:hAnsi="宋体" w:cs="宋体"/>
          <w:snapToGrid w:val="0"/>
          <w:color w:val="000000"/>
          <w:szCs w:val="36"/>
          <w:highlight w:val="none"/>
          <w:lang w:eastAsia="zh-CN"/>
        </w:rPr>
        <w:t>(5)</w:t>
      </w:r>
      <w:r>
        <w:rPr>
          <w:rFonts w:hint="eastAsia" w:hAnsi="宋体" w:cs="宋体"/>
          <w:snapToGrid w:val="0"/>
          <w:color w:val="000000"/>
          <w:szCs w:val="36"/>
          <w:highlight w:val="none"/>
        </w:rPr>
        <w:t>除在投标文件截止时间前经招标人书面同意外，项目经理与资格预审时不一致的；</w:t>
      </w:r>
    </w:p>
    <w:p w14:paraId="1C602BF1">
      <w:pPr>
        <w:pStyle w:val="8"/>
        <w:adjustRightInd w:val="0"/>
        <w:snapToGrid w:val="0"/>
        <w:spacing w:line="360" w:lineRule="auto"/>
        <w:ind w:firstLine="560" w:firstLineChars="200"/>
        <w:rPr>
          <w:rFonts w:hint="eastAsia" w:hAnsi="宋体" w:cs="宋体"/>
          <w:snapToGrid w:val="0"/>
          <w:color w:val="000000"/>
          <w:szCs w:val="36"/>
          <w:highlight w:val="none"/>
        </w:rPr>
      </w:pPr>
      <w:r>
        <w:rPr>
          <w:rFonts w:hint="eastAsia" w:hAnsi="宋体" w:cs="宋体"/>
          <w:snapToGrid w:val="0"/>
          <w:color w:val="000000"/>
          <w:szCs w:val="36"/>
          <w:highlight w:val="none"/>
          <w:lang w:eastAsia="zh-CN"/>
        </w:rPr>
        <w:t>(6)</w:t>
      </w:r>
      <w:r>
        <w:rPr>
          <w:rFonts w:hint="eastAsia" w:hAnsi="宋体" w:cs="宋体"/>
          <w:snapToGrid w:val="0"/>
          <w:color w:val="000000"/>
          <w:szCs w:val="36"/>
          <w:highlight w:val="none"/>
        </w:rPr>
        <w:t>投标人资格条件不符合国家有关规定或招标文件要求的；</w:t>
      </w:r>
    </w:p>
    <w:p w14:paraId="7A28C376">
      <w:pPr>
        <w:pStyle w:val="8"/>
        <w:adjustRightInd w:val="0"/>
        <w:snapToGrid w:val="0"/>
        <w:spacing w:line="360" w:lineRule="auto"/>
        <w:ind w:firstLine="560" w:firstLineChars="200"/>
        <w:rPr>
          <w:rFonts w:hint="eastAsia" w:hAnsi="宋体" w:cs="宋体"/>
          <w:snapToGrid w:val="0"/>
          <w:color w:val="000000"/>
          <w:szCs w:val="36"/>
          <w:highlight w:val="none"/>
        </w:rPr>
      </w:pPr>
      <w:r>
        <w:rPr>
          <w:rFonts w:hint="eastAsia" w:hAnsi="宋体" w:cs="宋体"/>
          <w:snapToGrid w:val="0"/>
          <w:color w:val="000000"/>
          <w:szCs w:val="36"/>
          <w:highlight w:val="none"/>
          <w:lang w:eastAsia="zh-CN"/>
        </w:rPr>
        <w:t>(7)</w:t>
      </w:r>
      <w:r>
        <w:rPr>
          <w:rFonts w:hint="eastAsia" w:hAnsi="宋体" w:cs="宋体"/>
          <w:snapToGrid w:val="0"/>
          <w:color w:val="000000"/>
          <w:szCs w:val="36"/>
          <w:highlight w:val="none"/>
        </w:rPr>
        <w:t xml:space="preserve">投标文件载明的招标项目完成期限超过招标文件规定的期限； </w:t>
      </w:r>
    </w:p>
    <w:p w14:paraId="0537CEB1">
      <w:pPr>
        <w:pStyle w:val="8"/>
        <w:adjustRightInd w:val="0"/>
        <w:snapToGrid w:val="0"/>
        <w:spacing w:line="360" w:lineRule="auto"/>
        <w:ind w:firstLine="560" w:firstLineChars="200"/>
        <w:rPr>
          <w:rFonts w:hint="eastAsia" w:hAnsi="宋体" w:cs="宋体"/>
          <w:snapToGrid w:val="0"/>
          <w:color w:val="000000"/>
          <w:szCs w:val="36"/>
          <w:highlight w:val="none"/>
        </w:rPr>
      </w:pPr>
      <w:r>
        <w:rPr>
          <w:rFonts w:hint="eastAsia" w:hAnsi="宋体" w:cs="宋体"/>
          <w:snapToGrid w:val="0"/>
          <w:color w:val="000000"/>
          <w:szCs w:val="36"/>
          <w:highlight w:val="none"/>
          <w:lang w:eastAsia="zh-CN"/>
        </w:rPr>
        <w:t>(8)</w:t>
      </w:r>
      <w:r>
        <w:rPr>
          <w:rFonts w:hint="eastAsia" w:hAnsi="宋体" w:cs="宋体"/>
          <w:snapToGrid w:val="0"/>
          <w:color w:val="000000"/>
          <w:szCs w:val="36"/>
          <w:highlight w:val="none"/>
        </w:rPr>
        <w:t xml:space="preserve">明显不符合技术规范、技术标准的要求； </w:t>
      </w:r>
    </w:p>
    <w:p w14:paraId="399B2911">
      <w:pPr>
        <w:pStyle w:val="8"/>
        <w:adjustRightInd w:val="0"/>
        <w:snapToGrid w:val="0"/>
        <w:spacing w:line="360" w:lineRule="auto"/>
        <w:ind w:firstLine="560" w:firstLineChars="200"/>
        <w:rPr>
          <w:rFonts w:hint="eastAsia" w:hAnsi="宋体" w:cs="宋体"/>
          <w:snapToGrid w:val="0"/>
          <w:color w:val="000000"/>
          <w:szCs w:val="36"/>
          <w:highlight w:val="none"/>
        </w:rPr>
      </w:pPr>
      <w:r>
        <w:rPr>
          <w:rFonts w:hint="eastAsia" w:hAnsi="宋体" w:cs="宋体"/>
          <w:snapToGrid w:val="0"/>
          <w:color w:val="000000"/>
          <w:szCs w:val="36"/>
          <w:highlight w:val="none"/>
          <w:lang w:eastAsia="zh-CN"/>
        </w:rPr>
        <w:t>(</w:t>
      </w:r>
      <w:r>
        <w:rPr>
          <w:rFonts w:hint="eastAsia" w:hAnsi="宋体" w:cs="宋体"/>
          <w:snapToGrid w:val="0"/>
          <w:color w:val="000000"/>
          <w:szCs w:val="36"/>
          <w:highlight w:val="none"/>
          <w:lang w:val="en-US" w:eastAsia="zh-CN"/>
        </w:rPr>
        <w:t>9</w:t>
      </w:r>
      <w:r>
        <w:rPr>
          <w:rFonts w:hint="eastAsia" w:hAnsi="宋体" w:cs="宋体"/>
          <w:snapToGrid w:val="0"/>
          <w:color w:val="000000"/>
          <w:szCs w:val="36"/>
          <w:highlight w:val="none"/>
          <w:lang w:eastAsia="zh-CN"/>
        </w:rPr>
        <w:t>)</w:t>
      </w:r>
      <w:r>
        <w:rPr>
          <w:rFonts w:hint="eastAsia" w:hAnsi="宋体" w:cs="宋体"/>
          <w:snapToGrid w:val="0"/>
          <w:color w:val="000000"/>
          <w:szCs w:val="36"/>
          <w:highlight w:val="none"/>
        </w:rPr>
        <w:t>投标报价超过招标文件规定的最高限费率/报价的；</w:t>
      </w:r>
    </w:p>
    <w:p w14:paraId="203E2A57">
      <w:pPr>
        <w:pStyle w:val="8"/>
        <w:adjustRightInd w:val="0"/>
        <w:snapToGrid w:val="0"/>
        <w:spacing w:line="360" w:lineRule="auto"/>
        <w:ind w:firstLine="560" w:firstLineChars="200"/>
        <w:rPr>
          <w:rFonts w:hint="eastAsia" w:hAnsi="宋体" w:cs="宋体"/>
          <w:snapToGrid w:val="0"/>
          <w:color w:val="000000"/>
          <w:szCs w:val="36"/>
          <w:highlight w:val="none"/>
        </w:rPr>
      </w:pPr>
      <w:r>
        <w:rPr>
          <w:rFonts w:hint="eastAsia" w:hAnsi="宋体" w:cs="宋体"/>
          <w:snapToGrid w:val="0"/>
          <w:color w:val="000000"/>
          <w:szCs w:val="36"/>
          <w:highlight w:val="none"/>
          <w:lang w:eastAsia="zh-CN"/>
        </w:rPr>
        <w:t>(</w:t>
      </w:r>
      <w:r>
        <w:rPr>
          <w:rFonts w:hint="eastAsia" w:hAnsi="宋体" w:cs="宋体"/>
          <w:snapToGrid w:val="0"/>
          <w:color w:val="000000"/>
          <w:szCs w:val="36"/>
          <w:highlight w:val="none"/>
          <w:lang w:val="en-US" w:eastAsia="zh-CN"/>
        </w:rPr>
        <w:t>10</w:t>
      </w:r>
      <w:r>
        <w:rPr>
          <w:rFonts w:hint="eastAsia" w:hAnsi="宋体" w:cs="宋体"/>
          <w:snapToGrid w:val="0"/>
          <w:color w:val="000000"/>
          <w:szCs w:val="36"/>
          <w:highlight w:val="none"/>
          <w:lang w:eastAsia="zh-CN"/>
        </w:rPr>
        <w:t>)</w:t>
      </w:r>
      <w:r>
        <w:rPr>
          <w:rFonts w:hint="eastAsia" w:hAnsi="宋体" w:cs="宋体"/>
          <w:snapToGrid w:val="0"/>
          <w:color w:val="000000"/>
          <w:szCs w:val="36"/>
          <w:highlight w:val="none"/>
        </w:rPr>
        <w:t>不同投标人的投标文件出现了评审工作小组认为不应当雷同的情况；</w:t>
      </w:r>
    </w:p>
    <w:p w14:paraId="398F4D9C">
      <w:pPr>
        <w:pStyle w:val="8"/>
        <w:adjustRightInd w:val="0"/>
        <w:snapToGrid w:val="0"/>
        <w:spacing w:line="360" w:lineRule="auto"/>
        <w:ind w:firstLine="560" w:firstLineChars="200"/>
        <w:rPr>
          <w:rFonts w:hint="eastAsia" w:hAnsi="宋体" w:cs="宋体"/>
          <w:snapToGrid w:val="0"/>
          <w:color w:val="000000"/>
          <w:szCs w:val="36"/>
          <w:highlight w:val="none"/>
        </w:rPr>
      </w:pPr>
      <w:r>
        <w:rPr>
          <w:rFonts w:hint="eastAsia" w:hAnsi="宋体" w:cs="宋体"/>
          <w:snapToGrid w:val="0"/>
          <w:color w:val="000000"/>
          <w:szCs w:val="36"/>
          <w:highlight w:val="none"/>
          <w:lang w:eastAsia="zh-CN"/>
        </w:rPr>
        <w:t>(</w:t>
      </w:r>
      <w:r>
        <w:rPr>
          <w:rFonts w:hint="eastAsia" w:hAnsi="宋体" w:cs="宋体"/>
          <w:snapToGrid w:val="0"/>
          <w:color w:val="000000"/>
          <w:szCs w:val="36"/>
          <w:highlight w:val="none"/>
          <w:lang w:val="en-US" w:eastAsia="zh-CN"/>
        </w:rPr>
        <w:t>11</w:t>
      </w:r>
      <w:r>
        <w:rPr>
          <w:rFonts w:hint="eastAsia" w:hAnsi="宋体" w:cs="宋体"/>
          <w:snapToGrid w:val="0"/>
          <w:color w:val="000000"/>
          <w:szCs w:val="36"/>
          <w:highlight w:val="none"/>
          <w:lang w:eastAsia="zh-CN"/>
        </w:rPr>
        <w:t>)</w:t>
      </w:r>
      <w:r>
        <w:rPr>
          <w:rFonts w:hint="eastAsia" w:hAnsi="宋体" w:cs="宋体"/>
          <w:snapToGrid w:val="0"/>
          <w:color w:val="000000"/>
          <w:szCs w:val="36"/>
          <w:highlight w:val="none"/>
        </w:rPr>
        <w:t xml:space="preserve">投标文件载明的货物包装方式、检验标准和方法等不符合招标文件的要求； </w:t>
      </w:r>
    </w:p>
    <w:p w14:paraId="01019A15">
      <w:pPr>
        <w:pStyle w:val="8"/>
        <w:adjustRightInd w:val="0"/>
        <w:snapToGrid w:val="0"/>
        <w:spacing w:line="360" w:lineRule="auto"/>
        <w:ind w:firstLine="560" w:firstLineChars="200"/>
        <w:rPr>
          <w:rFonts w:hint="eastAsia" w:hAnsi="宋体" w:cs="宋体"/>
          <w:snapToGrid w:val="0"/>
          <w:color w:val="000000"/>
          <w:szCs w:val="36"/>
          <w:highlight w:val="none"/>
        </w:rPr>
      </w:pPr>
      <w:r>
        <w:rPr>
          <w:rFonts w:hint="eastAsia" w:hAnsi="宋体" w:cs="宋体"/>
          <w:snapToGrid w:val="0"/>
          <w:color w:val="000000"/>
          <w:szCs w:val="36"/>
          <w:highlight w:val="none"/>
          <w:lang w:eastAsia="zh-CN"/>
        </w:rPr>
        <w:t>(</w:t>
      </w:r>
      <w:r>
        <w:rPr>
          <w:rFonts w:hint="eastAsia" w:hAnsi="宋体" w:cs="宋体"/>
          <w:snapToGrid w:val="0"/>
          <w:color w:val="000000"/>
          <w:szCs w:val="36"/>
          <w:highlight w:val="none"/>
          <w:lang w:val="en-US" w:eastAsia="zh-CN"/>
        </w:rPr>
        <w:t>12</w:t>
      </w:r>
      <w:r>
        <w:rPr>
          <w:rFonts w:hint="eastAsia" w:hAnsi="宋体" w:cs="宋体"/>
          <w:snapToGrid w:val="0"/>
          <w:color w:val="000000"/>
          <w:szCs w:val="36"/>
          <w:highlight w:val="none"/>
          <w:lang w:eastAsia="zh-CN"/>
        </w:rPr>
        <w:t>)</w:t>
      </w:r>
      <w:r>
        <w:rPr>
          <w:rFonts w:hint="eastAsia" w:hAnsi="宋体" w:cs="宋体"/>
          <w:snapToGrid w:val="0"/>
          <w:color w:val="000000"/>
          <w:szCs w:val="36"/>
          <w:highlight w:val="none"/>
        </w:rPr>
        <w:t xml:space="preserve">投标文件提出了不能满足招标文件要求或招标人不能接受的工程验收、计量、价款结算支付办法； </w:t>
      </w:r>
    </w:p>
    <w:p w14:paraId="4C65C32B">
      <w:pPr>
        <w:pStyle w:val="8"/>
        <w:adjustRightInd w:val="0"/>
        <w:snapToGrid w:val="0"/>
        <w:spacing w:line="360" w:lineRule="auto"/>
        <w:ind w:firstLine="560" w:firstLineChars="200"/>
        <w:rPr>
          <w:rFonts w:hint="eastAsia" w:hAnsi="宋体" w:cs="宋体"/>
          <w:snapToGrid w:val="0"/>
          <w:color w:val="000000"/>
          <w:szCs w:val="36"/>
          <w:highlight w:val="none"/>
        </w:rPr>
      </w:pPr>
      <w:r>
        <w:rPr>
          <w:rFonts w:hint="eastAsia" w:hAnsi="宋体" w:cs="宋体"/>
          <w:snapToGrid w:val="0"/>
          <w:color w:val="000000"/>
          <w:szCs w:val="36"/>
          <w:highlight w:val="none"/>
          <w:lang w:eastAsia="zh-CN"/>
        </w:rPr>
        <w:t>(</w:t>
      </w:r>
      <w:r>
        <w:rPr>
          <w:rFonts w:hint="eastAsia" w:hAnsi="宋体" w:cs="宋体"/>
          <w:snapToGrid w:val="0"/>
          <w:color w:val="000000"/>
          <w:szCs w:val="36"/>
          <w:highlight w:val="none"/>
          <w:lang w:val="en-US" w:eastAsia="zh-CN"/>
        </w:rPr>
        <w:t>13</w:t>
      </w:r>
      <w:r>
        <w:rPr>
          <w:rFonts w:hint="eastAsia" w:hAnsi="宋体" w:cs="宋体"/>
          <w:snapToGrid w:val="0"/>
          <w:color w:val="000000"/>
          <w:szCs w:val="36"/>
          <w:highlight w:val="none"/>
          <w:lang w:eastAsia="zh-CN"/>
        </w:rPr>
        <w:t>)</w:t>
      </w:r>
      <w:r>
        <w:rPr>
          <w:rFonts w:hint="eastAsia" w:hAnsi="宋体" w:cs="宋体"/>
          <w:snapToGrid w:val="0"/>
          <w:color w:val="000000"/>
          <w:szCs w:val="36"/>
          <w:highlight w:val="none"/>
        </w:rPr>
        <w:t>以他人的名义投标、串通投标、以行贿手段谋取中标或者以其他弄虚作假方式投标的；</w:t>
      </w:r>
    </w:p>
    <w:p w14:paraId="555421A0">
      <w:pPr>
        <w:pStyle w:val="8"/>
        <w:adjustRightInd w:val="0"/>
        <w:snapToGrid w:val="0"/>
        <w:spacing w:line="360" w:lineRule="auto"/>
        <w:ind w:firstLine="560" w:firstLineChars="200"/>
        <w:rPr>
          <w:rFonts w:hint="eastAsia" w:hAnsi="宋体" w:cs="宋体"/>
          <w:snapToGrid w:val="0"/>
          <w:color w:val="000000"/>
          <w:szCs w:val="36"/>
          <w:highlight w:val="none"/>
        </w:rPr>
      </w:pPr>
      <w:r>
        <w:rPr>
          <w:rFonts w:hint="eastAsia" w:hAnsi="宋体" w:cs="宋体"/>
          <w:snapToGrid w:val="0"/>
          <w:color w:val="000000"/>
          <w:szCs w:val="36"/>
          <w:highlight w:val="none"/>
          <w:lang w:eastAsia="zh-CN"/>
        </w:rPr>
        <w:t>(</w:t>
      </w:r>
      <w:r>
        <w:rPr>
          <w:rFonts w:hint="eastAsia" w:hAnsi="宋体" w:cs="宋体"/>
          <w:snapToGrid w:val="0"/>
          <w:color w:val="000000"/>
          <w:szCs w:val="36"/>
          <w:highlight w:val="none"/>
          <w:lang w:val="en-US" w:eastAsia="zh-CN"/>
        </w:rPr>
        <w:t>14</w:t>
      </w:r>
      <w:r>
        <w:rPr>
          <w:rFonts w:hint="eastAsia" w:hAnsi="宋体" w:cs="宋体"/>
          <w:snapToGrid w:val="0"/>
          <w:color w:val="000000"/>
          <w:szCs w:val="36"/>
          <w:highlight w:val="none"/>
          <w:lang w:eastAsia="zh-CN"/>
        </w:rPr>
        <w:t>)</w:t>
      </w:r>
      <w:r>
        <w:rPr>
          <w:rFonts w:hint="eastAsia" w:hAnsi="宋体" w:cs="宋体"/>
          <w:snapToGrid w:val="0"/>
          <w:color w:val="000000"/>
          <w:szCs w:val="36"/>
          <w:highlight w:val="none"/>
        </w:rPr>
        <w:t>经评审工作小组认定投标人的投标报价低于成本价的；</w:t>
      </w:r>
    </w:p>
    <w:p w14:paraId="2F45F408">
      <w:pPr>
        <w:pStyle w:val="8"/>
        <w:adjustRightInd w:val="0"/>
        <w:snapToGrid w:val="0"/>
        <w:spacing w:line="360" w:lineRule="auto"/>
        <w:ind w:firstLine="560" w:firstLineChars="200"/>
        <w:rPr>
          <w:rFonts w:hint="eastAsia" w:hAnsi="宋体" w:cs="宋体"/>
          <w:snapToGrid w:val="0"/>
          <w:color w:val="000000"/>
          <w:szCs w:val="36"/>
          <w:highlight w:val="none"/>
        </w:rPr>
      </w:pPr>
      <w:r>
        <w:rPr>
          <w:rFonts w:hint="eastAsia" w:hAnsi="宋体" w:cs="宋体"/>
          <w:snapToGrid w:val="0"/>
          <w:color w:val="000000"/>
          <w:szCs w:val="36"/>
          <w:highlight w:val="none"/>
          <w:lang w:eastAsia="zh-CN"/>
        </w:rPr>
        <w:t>(</w:t>
      </w:r>
      <w:r>
        <w:rPr>
          <w:rFonts w:hint="eastAsia" w:hAnsi="宋体" w:cs="宋体"/>
          <w:snapToGrid w:val="0"/>
          <w:color w:val="000000"/>
          <w:szCs w:val="36"/>
          <w:highlight w:val="none"/>
          <w:lang w:val="en-US" w:eastAsia="zh-CN"/>
        </w:rPr>
        <w:t>15</w:t>
      </w:r>
      <w:r>
        <w:rPr>
          <w:rFonts w:hint="eastAsia" w:hAnsi="宋体" w:cs="宋体"/>
          <w:snapToGrid w:val="0"/>
          <w:color w:val="000000"/>
          <w:szCs w:val="36"/>
          <w:highlight w:val="none"/>
          <w:lang w:eastAsia="zh-CN"/>
        </w:rPr>
        <w:t>)</w:t>
      </w:r>
      <w:r>
        <w:rPr>
          <w:rFonts w:hint="eastAsia" w:hAnsi="宋体" w:cs="宋体"/>
          <w:snapToGrid w:val="0"/>
          <w:color w:val="000000"/>
          <w:szCs w:val="36"/>
          <w:highlight w:val="none"/>
        </w:rPr>
        <w:t>组成联合体投标的，投标文件未附联合体各方共同投标协议的。投标时联合体成员与报名资格预审合格时的成员不一致的；</w:t>
      </w:r>
    </w:p>
    <w:p w14:paraId="127241D8">
      <w:pPr>
        <w:pStyle w:val="8"/>
        <w:adjustRightInd w:val="0"/>
        <w:snapToGrid w:val="0"/>
        <w:spacing w:line="360" w:lineRule="auto"/>
        <w:ind w:firstLine="560" w:firstLineChars="200"/>
        <w:rPr>
          <w:rFonts w:hint="eastAsia" w:hAnsi="宋体" w:cs="宋体"/>
          <w:snapToGrid w:val="0"/>
          <w:color w:val="000000"/>
          <w:szCs w:val="36"/>
          <w:highlight w:val="none"/>
        </w:rPr>
      </w:pPr>
      <w:r>
        <w:rPr>
          <w:rFonts w:hint="eastAsia" w:hAnsi="宋体" w:cs="宋体"/>
          <w:snapToGrid w:val="0"/>
          <w:color w:val="000000"/>
          <w:szCs w:val="36"/>
          <w:highlight w:val="none"/>
          <w:lang w:eastAsia="zh-CN"/>
        </w:rPr>
        <w:t>(</w:t>
      </w:r>
      <w:r>
        <w:rPr>
          <w:rFonts w:hint="eastAsia" w:hAnsi="宋体" w:cs="宋体"/>
          <w:snapToGrid w:val="0"/>
          <w:color w:val="000000"/>
          <w:szCs w:val="36"/>
          <w:highlight w:val="none"/>
          <w:lang w:val="en-US" w:eastAsia="zh-CN"/>
        </w:rPr>
        <w:t>16</w:t>
      </w:r>
      <w:r>
        <w:rPr>
          <w:rFonts w:hint="eastAsia" w:hAnsi="宋体" w:cs="宋体"/>
          <w:snapToGrid w:val="0"/>
          <w:color w:val="000000"/>
          <w:szCs w:val="36"/>
          <w:highlight w:val="none"/>
          <w:lang w:eastAsia="zh-CN"/>
        </w:rPr>
        <w:t>)</w:t>
      </w:r>
      <w:r>
        <w:rPr>
          <w:rFonts w:hint="eastAsia" w:hAnsi="宋体" w:cs="宋体"/>
          <w:snapToGrid w:val="0"/>
          <w:color w:val="000000"/>
          <w:szCs w:val="36"/>
          <w:highlight w:val="none"/>
        </w:rPr>
        <w:t>投标人未按照招标文件的要求提供必须提交的相关资料的；</w:t>
      </w:r>
    </w:p>
    <w:p w14:paraId="6411E96B">
      <w:pPr>
        <w:pStyle w:val="8"/>
        <w:adjustRightInd w:val="0"/>
        <w:snapToGrid w:val="0"/>
        <w:spacing w:line="360" w:lineRule="auto"/>
        <w:ind w:firstLine="560" w:firstLineChars="200"/>
        <w:rPr>
          <w:rFonts w:hint="eastAsia" w:hAnsi="宋体" w:cs="宋体"/>
          <w:snapToGrid w:val="0"/>
          <w:color w:val="000000"/>
          <w:szCs w:val="36"/>
          <w:highlight w:val="none"/>
        </w:rPr>
      </w:pPr>
      <w:r>
        <w:rPr>
          <w:rFonts w:hint="eastAsia" w:hAnsi="宋体" w:cs="宋体"/>
          <w:snapToGrid w:val="0"/>
          <w:color w:val="000000"/>
          <w:szCs w:val="36"/>
          <w:highlight w:val="none"/>
          <w:lang w:eastAsia="zh-CN"/>
        </w:rPr>
        <w:t>(</w:t>
      </w:r>
      <w:r>
        <w:rPr>
          <w:rFonts w:hint="eastAsia" w:hAnsi="宋体" w:cs="宋体"/>
          <w:snapToGrid w:val="0"/>
          <w:color w:val="000000"/>
          <w:szCs w:val="36"/>
          <w:highlight w:val="none"/>
          <w:lang w:val="en-US" w:eastAsia="zh-CN"/>
        </w:rPr>
        <w:t>17</w:t>
      </w:r>
      <w:r>
        <w:rPr>
          <w:rFonts w:hint="eastAsia" w:hAnsi="宋体" w:cs="宋体"/>
          <w:snapToGrid w:val="0"/>
          <w:color w:val="000000"/>
          <w:szCs w:val="36"/>
          <w:highlight w:val="none"/>
          <w:lang w:eastAsia="zh-CN"/>
        </w:rPr>
        <w:t>)</w:t>
      </w:r>
      <w:r>
        <w:rPr>
          <w:rFonts w:hint="eastAsia" w:hAnsi="宋体" w:cs="宋体"/>
          <w:snapToGrid w:val="0"/>
          <w:color w:val="000000"/>
          <w:szCs w:val="36"/>
          <w:highlight w:val="none"/>
        </w:rPr>
        <w:t>投标文件附有招标人不能接受的条件；</w:t>
      </w:r>
    </w:p>
    <w:p w14:paraId="7AF128C1">
      <w:pPr>
        <w:pStyle w:val="8"/>
        <w:adjustRightInd w:val="0"/>
        <w:snapToGrid w:val="0"/>
        <w:spacing w:line="360" w:lineRule="auto"/>
        <w:ind w:firstLine="560" w:firstLineChars="200"/>
        <w:rPr>
          <w:rFonts w:hint="eastAsia" w:hAnsi="宋体" w:cs="宋体"/>
          <w:snapToGrid w:val="0"/>
          <w:color w:val="000000"/>
          <w:szCs w:val="36"/>
          <w:highlight w:val="none"/>
        </w:rPr>
      </w:pPr>
      <w:r>
        <w:rPr>
          <w:rFonts w:hint="eastAsia" w:hAnsi="宋体" w:cs="宋体"/>
          <w:snapToGrid w:val="0"/>
          <w:color w:val="000000"/>
          <w:szCs w:val="36"/>
          <w:highlight w:val="none"/>
          <w:lang w:eastAsia="zh-CN"/>
        </w:rPr>
        <w:t>(</w:t>
      </w:r>
      <w:r>
        <w:rPr>
          <w:rFonts w:hint="eastAsia" w:hAnsi="宋体" w:cs="宋体"/>
          <w:snapToGrid w:val="0"/>
          <w:color w:val="000000"/>
          <w:szCs w:val="36"/>
          <w:highlight w:val="none"/>
          <w:lang w:val="en-US" w:eastAsia="zh-CN"/>
        </w:rPr>
        <w:t>18</w:t>
      </w:r>
      <w:r>
        <w:rPr>
          <w:rFonts w:hint="eastAsia" w:hAnsi="宋体" w:cs="宋体"/>
          <w:snapToGrid w:val="0"/>
          <w:color w:val="000000"/>
          <w:szCs w:val="36"/>
          <w:highlight w:val="none"/>
          <w:lang w:eastAsia="zh-CN"/>
        </w:rPr>
        <w:t>)</w:t>
      </w:r>
      <w:r>
        <w:rPr>
          <w:rFonts w:hint="eastAsia" w:hAnsi="宋体" w:cs="宋体"/>
          <w:snapToGrid w:val="0"/>
          <w:color w:val="000000"/>
          <w:szCs w:val="36"/>
          <w:highlight w:val="none"/>
        </w:rPr>
        <w:t>投标文件中提供虚假资料的；</w:t>
      </w:r>
    </w:p>
    <w:p w14:paraId="7DAEAC6E">
      <w:pPr>
        <w:tabs>
          <w:tab w:val="left" w:pos="0"/>
          <w:tab w:val="left" w:pos="993"/>
          <w:tab w:val="left" w:pos="1134"/>
        </w:tabs>
        <w:adjustRightInd w:val="0"/>
        <w:snapToGrid w:val="0"/>
        <w:spacing w:line="360" w:lineRule="auto"/>
        <w:ind w:firstLine="560" w:firstLineChars="200"/>
        <w:rPr>
          <w:rFonts w:hint="eastAsia" w:ascii="宋体" w:hAnsi="宋体" w:cs="宋体"/>
          <w:snapToGrid w:val="0"/>
          <w:color w:val="000000"/>
          <w:sz w:val="28"/>
          <w:highlight w:val="none"/>
        </w:rPr>
      </w:pPr>
      <w:r>
        <w:rPr>
          <w:rFonts w:hint="eastAsia" w:ascii="宋体" w:hAnsi="宋体" w:cs="宋体"/>
          <w:snapToGrid w:val="0"/>
          <w:color w:val="000000"/>
          <w:sz w:val="28"/>
          <w:highlight w:val="none"/>
          <w:lang w:val="en-US" w:eastAsia="zh-CN"/>
        </w:rPr>
        <w:t xml:space="preserve">15.2.1 </w:t>
      </w:r>
      <w:r>
        <w:rPr>
          <w:rFonts w:hint="eastAsia" w:ascii="宋体" w:hAnsi="宋体" w:cs="宋体"/>
          <w:snapToGrid w:val="0"/>
          <w:color w:val="000000"/>
          <w:sz w:val="28"/>
          <w:highlight w:val="none"/>
        </w:rPr>
        <w:t>在评标过程中，评审工作小组若发现投标人以他人的名义投标、串通投标、以行贿手段谋取中标或者以其他弄虚作假方式投标的，该投标人的投标将作废标处理。并依据相关法律法规进行处罚。</w:t>
      </w:r>
    </w:p>
    <w:p w14:paraId="60AF96C5">
      <w:pPr>
        <w:tabs>
          <w:tab w:val="left" w:pos="0"/>
          <w:tab w:val="left" w:pos="993"/>
          <w:tab w:val="left" w:pos="1134"/>
        </w:tabs>
        <w:adjustRightInd w:val="0"/>
        <w:snapToGrid w:val="0"/>
        <w:spacing w:line="360" w:lineRule="auto"/>
        <w:ind w:firstLine="560" w:firstLineChars="200"/>
        <w:rPr>
          <w:rFonts w:hint="eastAsia" w:ascii="宋体" w:hAnsi="宋体" w:cs="宋体"/>
          <w:snapToGrid w:val="0"/>
          <w:color w:val="000000"/>
          <w:sz w:val="28"/>
          <w:highlight w:val="none"/>
        </w:rPr>
      </w:pPr>
      <w:r>
        <w:rPr>
          <w:rFonts w:hint="eastAsia" w:ascii="宋体" w:hAnsi="宋体" w:cs="宋体"/>
          <w:snapToGrid w:val="0"/>
          <w:color w:val="000000"/>
          <w:sz w:val="28"/>
          <w:highlight w:val="none"/>
          <w:lang w:val="en-US" w:eastAsia="zh-CN"/>
        </w:rPr>
        <w:t xml:space="preserve">15.2.2 </w:t>
      </w:r>
      <w:r>
        <w:rPr>
          <w:rFonts w:hint="eastAsia" w:ascii="宋体" w:hAnsi="宋体" w:cs="宋体"/>
          <w:snapToGrid w:val="0"/>
          <w:color w:val="000000"/>
          <w:sz w:val="28"/>
          <w:highlight w:val="none"/>
        </w:rPr>
        <w:t>评审工作小组根据规定否决不合格投标或者界定为废标后，因有效投标不足三个使得投标明显缺乏竞争的，评审工作小组可以否决全部投标。所有投标被否决的，招标人依法重新招标。</w:t>
      </w:r>
    </w:p>
    <w:p w14:paraId="678260EC">
      <w:pPr>
        <w:tabs>
          <w:tab w:val="left" w:pos="0"/>
          <w:tab w:val="left" w:pos="1134"/>
        </w:tabs>
        <w:adjustRightInd w:val="0"/>
        <w:snapToGrid w:val="0"/>
        <w:spacing w:line="360" w:lineRule="auto"/>
        <w:ind w:firstLine="560" w:firstLineChars="200"/>
        <w:rPr>
          <w:rFonts w:hint="default" w:ascii="宋体" w:hAnsi="宋体" w:eastAsia="宋体" w:cs="宋体"/>
          <w:snapToGrid w:val="0"/>
          <w:color w:val="000000"/>
          <w:sz w:val="28"/>
          <w:highlight w:val="none"/>
        </w:rPr>
      </w:pPr>
      <w:r>
        <w:rPr>
          <w:rFonts w:hint="default" w:ascii="宋体" w:hAnsi="宋体" w:eastAsia="宋体" w:cs="宋体"/>
          <w:b w:val="0"/>
          <w:bCs w:val="0"/>
          <w:snapToGrid w:val="0"/>
          <w:color w:val="000000"/>
          <w:sz w:val="28"/>
          <w:highlight w:val="none"/>
          <w:lang w:val="en-US" w:eastAsia="zh-CN"/>
        </w:rPr>
        <w:t>15.</w:t>
      </w:r>
      <w:r>
        <w:rPr>
          <w:rFonts w:hint="eastAsia" w:ascii="宋体" w:hAnsi="宋体" w:eastAsia="宋体" w:cs="宋体"/>
          <w:b w:val="0"/>
          <w:bCs w:val="0"/>
          <w:snapToGrid w:val="0"/>
          <w:color w:val="000000"/>
          <w:sz w:val="28"/>
          <w:highlight w:val="none"/>
          <w:lang w:val="en-US" w:eastAsia="zh-CN"/>
        </w:rPr>
        <w:t>3</w:t>
      </w:r>
      <w:r>
        <w:rPr>
          <w:rFonts w:hint="default" w:ascii="宋体" w:hAnsi="宋体" w:eastAsia="宋体" w:cs="宋体"/>
          <w:b w:val="0"/>
          <w:bCs w:val="0"/>
          <w:snapToGrid w:val="0"/>
          <w:color w:val="000000"/>
          <w:sz w:val="28"/>
          <w:highlight w:val="none"/>
          <w:lang w:val="en-US" w:eastAsia="zh-CN"/>
        </w:rPr>
        <w:t xml:space="preserve"> </w:t>
      </w:r>
      <w:r>
        <w:rPr>
          <w:rFonts w:hint="default" w:ascii="宋体" w:hAnsi="宋体" w:eastAsia="宋体" w:cs="宋体"/>
          <w:b w:val="0"/>
          <w:bCs w:val="0"/>
          <w:snapToGrid w:val="0"/>
          <w:color w:val="000000"/>
          <w:sz w:val="28"/>
          <w:highlight w:val="none"/>
        </w:rPr>
        <w:t>初步评审</w:t>
      </w:r>
    </w:p>
    <w:p w14:paraId="6A249D39">
      <w:pPr>
        <w:tabs>
          <w:tab w:val="left" w:pos="0"/>
          <w:tab w:val="left" w:pos="993"/>
          <w:tab w:val="left" w:pos="1134"/>
        </w:tabs>
        <w:adjustRightInd w:val="0"/>
        <w:snapToGrid w:val="0"/>
        <w:spacing w:line="360" w:lineRule="auto"/>
        <w:ind w:firstLine="560" w:firstLineChars="200"/>
        <w:rPr>
          <w:rFonts w:hint="eastAsia" w:ascii="宋体" w:hAnsi="宋体" w:cs="宋体"/>
          <w:snapToGrid w:val="0"/>
          <w:color w:val="000000"/>
          <w:sz w:val="28"/>
          <w:highlight w:val="none"/>
        </w:rPr>
      </w:pPr>
      <w:r>
        <w:rPr>
          <w:rFonts w:hint="eastAsia" w:ascii="宋体" w:hAnsi="宋体" w:cs="宋体"/>
          <w:snapToGrid w:val="0"/>
          <w:color w:val="000000"/>
          <w:sz w:val="28"/>
          <w:highlight w:val="none"/>
          <w:lang w:val="en-US" w:eastAsia="zh-CN"/>
        </w:rPr>
        <w:t xml:space="preserve">15.3.1 </w:t>
      </w:r>
      <w:r>
        <w:rPr>
          <w:rFonts w:hint="eastAsia" w:ascii="宋体" w:hAnsi="宋体" w:cs="宋体"/>
          <w:snapToGrid w:val="0"/>
          <w:color w:val="000000"/>
          <w:sz w:val="28"/>
          <w:highlight w:val="none"/>
        </w:rPr>
        <w:t>评审工作小组应对投标文件进行完整性、符合性鉴定，核查投标文件是否按照招标文件的规定和要求编制、签署；</w:t>
      </w:r>
    </w:p>
    <w:p w14:paraId="1F69CF12">
      <w:pPr>
        <w:tabs>
          <w:tab w:val="left" w:pos="0"/>
          <w:tab w:val="left" w:pos="993"/>
          <w:tab w:val="left" w:pos="1134"/>
        </w:tabs>
        <w:adjustRightInd w:val="0"/>
        <w:snapToGrid w:val="0"/>
        <w:spacing w:line="360" w:lineRule="auto"/>
        <w:ind w:firstLine="560" w:firstLineChars="200"/>
        <w:rPr>
          <w:rFonts w:hint="eastAsia" w:ascii="宋体" w:hAnsi="宋体" w:cs="宋体"/>
          <w:snapToGrid w:val="0"/>
          <w:color w:val="000000"/>
          <w:sz w:val="28"/>
          <w:highlight w:val="none"/>
        </w:rPr>
      </w:pPr>
      <w:r>
        <w:rPr>
          <w:rFonts w:hint="eastAsia" w:ascii="宋体" w:hAnsi="宋体" w:cs="宋体"/>
          <w:snapToGrid w:val="0"/>
          <w:color w:val="000000"/>
          <w:sz w:val="28"/>
          <w:highlight w:val="none"/>
          <w:lang w:val="en-US" w:eastAsia="zh-CN"/>
        </w:rPr>
        <w:t xml:space="preserve">15.3.2 </w:t>
      </w:r>
      <w:r>
        <w:rPr>
          <w:rFonts w:hint="eastAsia" w:ascii="宋体" w:hAnsi="宋体" w:cs="宋体"/>
          <w:snapToGrid w:val="0"/>
          <w:color w:val="000000"/>
          <w:sz w:val="28"/>
          <w:highlight w:val="none"/>
        </w:rPr>
        <w:t>依据招标要求，评审工作小组应核查投标人资格条件；</w:t>
      </w:r>
    </w:p>
    <w:p w14:paraId="74875460">
      <w:pPr>
        <w:tabs>
          <w:tab w:val="left" w:pos="0"/>
          <w:tab w:val="left" w:pos="993"/>
          <w:tab w:val="left" w:pos="1134"/>
        </w:tabs>
        <w:adjustRightInd w:val="0"/>
        <w:snapToGrid w:val="0"/>
        <w:spacing w:line="360" w:lineRule="auto"/>
        <w:ind w:firstLine="560" w:firstLineChars="200"/>
        <w:rPr>
          <w:rFonts w:hint="eastAsia" w:ascii="宋体" w:hAnsi="宋体" w:cs="宋体"/>
          <w:snapToGrid w:val="0"/>
          <w:color w:val="000000"/>
          <w:sz w:val="28"/>
          <w:highlight w:val="none"/>
        </w:rPr>
      </w:pPr>
      <w:r>
        <w:rPr>
          <w:rFonts w:hint="eastAsia" w:ascii="宋体" w:hAnsi="宋体" w:cs="宋体"/>
          <w:snapToGrid w:val="0"/>
          <w:color w:val="000000"/>
          <w:sz w:val="28"/>
          <w:highlight w:val="none"/>
          <w:lang w:val="en-US" w:eastAsia="zh-CN"/>
        </w:rPr>
        <w:t xml:space="preserve">15.3.3 </w:t>
      </w:r>
      <w:r>
        <w:rPr>
          <w:rFonts w:hint="eastAsia" w:ascii="宋体" w:hAnsi="宋体" w:cs="宋体"/>
          <w:snapToGrid w:val="0"/>
          <w:color w:val="000000"/>
          <w:sz w:val="28"/>
          <w:highlight w:val="none"/>
        </w:rPr>
        <w:t>评审工作小组将审查每一投标文件是否对招标文件提出的所有实质性要求和条件做出响应。实质性响应的投标文件应与招标文件的所有条款、条件和规范相符，无显著差异或保留。未能在实质上响应的投标，将作废标处理。</w:t>
      </w:r>
    </w:p>
    <w:p w14:paraId="0CEC7F15">
      <w:pPr>
        <w:tabs>
          <w:tab w:val="left" w:pos="0"/>
          <w:tab w:val="left" w:pos="1134"/>
        </w:tabs>
        <w:adjustRightInd w:val="0"/>
        <w:snapToGrid w:val="0"/>
        <w:spacing w:line="360" w:lineRule="auto"/>
        <w:ind w:firstLine="560" w:firstLineChars="200"/>
        <w:rPr>
          <w:rFonts w:hint="default" w:ascii="宋体" w:hAnsi="宋体" w:eastAsia="宋体" w:cs="宋体"/>
          <w:snapToGrid w:val="0"/>
          <w:color w:val="000000"/>
          <w:sz w:val="28"/>
          <w:highlight w:val="none"/>
        </w:rPr>
      </w:pPr>
      <w:r>
        <w:rPr>
          <w:rFonts w:hint="default" w:ascii="宋体" w:hAnsi="宋体" w:eastAsia="宋体" w:cs="宋体"/>
          <w:snapToGrid w:val="0"/>
          <w:color w:val="000000"/>
          <w:sz w:val="28"/>
          <w:highlight w:val="none"/>
          <w:lang w:val="en-US" w:eastAsia="zh-CN"/>
        </w:rPr>
        <w:t xml:space="preserve">15.4 </w:t>
      </w:r>
      <w:r>
        <w:rPr>
          <w:rFonts w:hint="default" w:ascii="宋体" w:hAnsi="宋体" w:eastAsia="宋体" w:cs="宋体"/>
          <w:snapToGrid w:val="0"/>
          <w:color w:val="000000"/>
          <w:sz w:val="28"/>
          <w:highlight w:val="none"/>
        </w:rPr>
        <w:t>投标文件的澄清</w:t>
      </w:r>
    </w:p>
    <w:p w14:paraId="5AC21D6A">
      <w:pPr>
        <w:tabs>
          <w:tab w:val="left" w:pos="0"/>
          <w:tab w:val="left" w:pos="993"/>
          <w:tab w:val="left" w:pos="1134"/>
        </w:tabs>
        <w:adjustRightInd w:val="0"/>
        <w:snapToGrid w:val="0"/>
        <w:spacing w:line="360" w:lineRule="auto"/>
        <w:ind w:firstLine="560" w:firstLineChars="200"/>
        <w:rPr>
          <w:rFonts w:hint="eastAsia" w:ascii="宋体" w:hAnsi="宋体" w:cs="宋体"/>
          <w:snapToGrid w:val="0"/>
          <w:color w:val="000000"/>
          <w:sz w:val="28"/>
          <w:highlight w:val="none"/>
        </w:rPr>
      </w:pPr>
      <w:r>
        <w:rPr>
          <w:rFonts w:hint="eastAsia" w:ascii="宋体" w:hAnsi="宋体" w:cs="宋体"/>
          <w:snapToGrid w:val="0"/>
          <w:color w:val="000000"/>
          <w:sz w:val="28"/>
          <w:highlight w:val="none"/>
          <w:lang w:val="en-US" w:eastAsia="zh-CN"/>
        </w:rPr>
        <w:t xml:space="preserve">15.4.1 </w:t>
      </w:r>
      <w:r>
        <w:rPr>
          <w:rFonts w:hint="eastAsia" w:ascii="宋体" w:hAnsi="宋体" w:cs="宋体"/>
          <w:snapToGrid w:val="0"/>
          <w:color w:val="000000"/>
          <w:sz w:val="28"/>
          <w:highlight w:val="none"/>
        </w:rPr>
        <w:t>为了有助于投标文件的审查、评价和比较，评审工作小组可以书面方式要求投标人对投标文件中含义不明确、对同类问题表述不一致或者有明显文字和计算错误的内容作必要的澄清、说明或者补正。投标人的澄清、说明或者补正应以书面方式进行并不得超出投标文件的范围或者改变投标文件的实质性内容，拒不按照要求对投标文件进行澄清、说明或者补正的，评审工作小组可以否决其投标。</w:t>
      </w:r>
    </w:p>
    <w:p w14:paraId="03123908">
      <w:pPr>
        <w:tabs>
          <w:tab w:val="left" w:pos="0"/>
          <w:tab w:val="left" w:pos="993"/>
          <w:tab w:val="left" w:pos="1134"/>
        </w:tabs>
        <w:adjustRightInd w:val="0"/>
        <w:snapToGrid w:val="0"/>
        <w:spacing w:line="360" w:lineRule="auto"/>
        <w:ind w:firstLine="560" w:firstLineChars="200"/>
        <w:rPr>
          <w:rFonts w:hint="eastAsia" w:ascii="宋体" w:hAnsi="宋体" w:cs="宋体"/>
          <w:snapToGrid w:val="0"/>
          <w:color w:val="000000"/>
          <w:sz w:val="28"/>
          <w:highlight w:val="none"/>
        </w:rPr>
      </w:pPr>
      <w:r>
        <w:rPr>
          <w:rFonts w:hint="eastAsia" w:ascii="宋体" w:hAnsi="宋体" w:cs="宋体"/>
          <w:snapToGrid w:val="0"/>
          <w:color w:val="000000"/>
          <w:sz w:val="28"/>
          <w:highlight w:val="none"/>
          <w:lang w:val="en-US" w:eastAsia="zh-CN"/>
        </w:rPr>
        <w:t xml:space="preserve">15.4.2 </w:t>
      </w:r>
      <w:r>
        <w:rPr>
          <w:rFonts w:hint="eastAsia" w:ascii="宋体" w:hAnsi="宋体" w:cs="宋体"/>
          <w:snapToGrid w:val="0"/>
          <w:color w:val="000000"/>
          <w:sz w:val="28"/>
          <w:highlight w:val="none"/>
        </w:rPr>
        <w:t>核查报价计算的正确性；投标文件中的大写金额和小写金额不一致的，以大写金额为准；评审工作小组按上述原则改正错误调整投标文件的报价，经过投标授权人签字确认，调整后的报价对投标人起约束作用；如投标人不接受改正错误后的报价，则其投标文件将被拒绝。</w:t>
      </w:r>
    </w:p>
    <w:p w14:paraId="058E10B8">
      <w:pPr>
        <w:tabs>
          <w:tab w:val="left" w:pos="0"/>
          <w:tab w:val="left" w:pos="993"/>
          <w:tab w:val="left" w:pos="1134"/>
        </w:tabs>
        <w:adjustRightInd w:val="0"/>
        <w:snapToGrid w:val="0"/>
        <w:spacing w:line="360" w:lineRule="auto"/>
        <w:ind w:firstLine="560" w:firstLineChars="200"/>
        <w:rPr>
          <w:rFonts w:hint="default" w:ascii="宋体" w:hAnsi="宋体" w:eastAsia="宋体" w:cs="宋体"/>
          <w:b w:val="0"/>
          <w:bCs w:val="0"/>
          <w:snapToGrid w:val="0"/>
          <w:color w:val="000000"/>
          <w:sz w:val="28"/>
          <w:highlight w:val="none"/>
        </w:rPr>
      </w:pPr>
      <w:r>
        <w:rPr>
          <w:rFonts w:hint="default" w:ascii="宋体" w:hAnsi="宋体" w:eastAsia="宋体" w:cs="宋体"/>
          <w:b w:val="0"/>
          <w:bCs w:val="0"/>
          <w:snapToGrid w:val="0"/>
          <w:color w:val="000000"/>
          <w:sz w:val="28"/>
          <w:highlight w:val="none"/>
          <w:lang w:val="en-US" w:eastAsia="zh-CN"/>
        </w:rPr>
        <w:t xml:space="preserve">15.5 </w:t>
      </w:r>
      <w:r>
        <w:rPr>
          <w:rFonts w:hint="default" w:ascii="宋体" w:hAnsi="宋体" w:eastAsia="宋体" w:cs="宋体"/>
          <w:b w:val="0"/>
          <w:bCs w:val="0"/>
          <w:snapToGrid w:val="0"/>
          <w:color w:val="000000"/>
          <w:sz w:val="28"/>
          <w:highlight w:val="none"/>
        </w:rPr>
        <w:t>详细评审</w:t>
      </w:r>
    </w:p>
    <w:p w14:paraId="3CE87C40">
      <w:pPr>
        <w:tabs>
          <w:tab w:val="left" w:pos="0"/>
          <w:tab w:val="left" w:pos="993"/>
          <w:tab w:val="left" w:pos="1134"/>
        </w:tabs>
        <w:adjustRightInd w:val="0"/>
        <w:snapToGrid w:val="0"/>
        <w:spacing w:line="360" w:lineRule="auto"/>
        <w:ind w:firstLine="560" w:firstLineChars="200"/>
        <w:rPr>
          <w:rFonts w:hint="eastAsia" w:ascii="宋体" w:hAnsi="宋体" w:cs="宋体"/>
          <w:snapToGrid w:val="0"/>
          <w:color w:val="000000"/>
          <w:sz w:val="28"/>
          <w:highlight w:val="none"/>
        </w:rPr>
      </w:pPr>
      <w:r>
        <w:rPr>
          <w:rFonts w:hint="eastAsia" w:ascii="宋体" w:hAnsi="宋体" w:cs="宋体"/>
          <w:snapToGrid w:val="0"/>
          <w:color w:val="000000"/>
          <w:sz w:val="28"/>
          <w:highlight w:val="none"/>
          <w:lang w:val="en-US" w:eastAsia="zh-CN"/>
        </w:rPr>
        <w:t xml:space="preserve">15.5.1 </w:t>
      </w:r>
      <w:r>
        <w:rPr>
          <w:rFonts w:hint="eastAsia" w:ascii="宋体" w:hAnsi="宋体" w:cs="宋体"/>
          <w:snapToGrid w:val="0"/>
          <w:color w:val="000000"/>
          <w:sz w:val="28"/>
          <w:highlight w:val="none"/>
        </w:rPr>
        <w:t>经初步评审合格的投标文件，评审工作小组应当根据招标文件确定的评标标准和评标方法，对其</w:t>
      </w:r>
      <w:r>
        <w:rPr>
          <w:rFonts w:hint="eastAsia" w:ascii="宋体" w:hAnsi="宋体" w:cs="宋体"/>
          <w:snapToGrid w:val="0"/>
          <w:color w:val="000000"/>
          <w:sz w:val="28"/>
          <w:highlight w:val="none"/>
          <w:lang w:val="en-US" w:eastAsia="zh-CN"/>
        </w:rPr>
        <w:t>投标文件</w:t>
      </w:r>
      <w:r>
        <w:rPr>
          <w:rFonts w:hint="eastAsia" w:ascii="宋体" w:hAnsi="宋体" w:cs="宋体"/>
          <w:snapToGrid w:val="0"/>
          <w:color w:val="000000"/>
          <w:sz w:val="28"/>
          <w:highlight w:val="none"/>
        </w:rPr>
        <w:t>作进一步评审、比较。</w:t>
      </w:r>
    </w:p>
    <w:p w14:paraId="61B39105">
      <w:pPr>
        <w:pStyle w:val="8"/>
        <w:adjustRightInd w:val="0"/>
        <w:snapToGrid w:val="0"/>
        <w:spacing w:line="360" w:lineRule="auto"/>
        <w:rPr>
          <w:rFonts w:hint="eastAsia" w:hAnsi="宋体" w:cs="宋体"/>
          <w:bCs/>
          <w:snapToGrid w:val="0"/>
          <w:color w:val="000000"/>
          <w:highlight w:val="none"/>
        </w:rPr>
      </w:pPr>
      <w:r>
        <w:rPr>
          <w:rFonts w:hint="eastAsia" w:ascii="宋体" w:hAnsi="宋体" w:eastAsia="宋体" w:cs="宋体"/>
          <w:b w:val="0"/>
          <w:snapToGrid w:val="0"/>
          <w:color w:val="000000"/>
          <w:sz w:val="28"/>
          <w:highlight w:val="none"/>
          <w:lang w:val="en-US" w:eastAsia="zh-CN"/>
        </w:rPr>
        <w:t xml:space="preserve">15.5.2 </w:t>
      </w:r>
      <w:r>
        <w:rPr>
          <w:rFonts w:hint="eastAsia" w:ascii="宋体" w:hAnsi="宋体" w:eastAsia="宋体" w:cs="宋体"/>
          <w:b w:val="0"/>
          <w:snapToGrid w:val="0"/>
          <w:color w:val="000000"/>
          <w:sz w:val="28"/>
          <w:highlight w:val="none"/>
        </w:rPr>
        <w:t>评标标准和方法: 本次招标采用“</w:t>
      </w:r>
      <w:r>
        <w:rPr>
          <w:rFonts w:hint="eastAsia" w:hAnsi="宋体" w:cs="宋体"/>
          <w:bCs/>
          <w:snapToGrid w:val="0"/>
          <w:color w:val="000000"/>
          <w:highlight w:val="none"/>
        </w:rPr>
        <w:t>经评审的</w:t>
      </w:r>
      <w:r>
        <w:rPr>
          <w:rFonts w:hint="eastAsia" w:hAnsi="宋体" w:cs="宋体"/>
          <w:bCs/>
          <w:snapToGrid w:val="0"/>
          <w:color w:val="000000"/>
          <w:highlight w:val="none"/>
          <w:lang w:val="en-US" w:eastAsia="zh-CN"/>
        </w:rPr>
        <w:t>合理</w:t>
      </w:r>
      <w:r>
        <w:rPr>
          <w:rFonts w:hint="eastAsia" w:hAnsi="宋体" w:cs="宋体"/>
          <w:bCs/>
          <w:snapToGrid w:val="0"/>
          <w:color w:val="000000"/>
          <w:highlight w:val="none"/>
        </w:rPr>
        <w:t>低价法</w:t>
      </w:r>
      <w:r>
        <w:rPr>
          <w:rFonts w:hint="eastAsia" w:ascii="宋体" w:hAnsi="宋体" w:eastAsia="宋体" w:cs="宋体"/>
          <w:b w:val="0"/>
          <w:snapToGrid w:val="0"/>
          <w:color w:val="000000"/>
          <w:sz w:val="28"/>
          <w:highlight w:val="none"/>
        </w:rPr>
        <w:t>”</w:t>
      </w:r>
    </w:p>
    <w:p w14:paraId="65079BDB">
      <w:pPr>
        <w:tabs>
          <w:tab w:val="left" w:pos="0"/>
          <w:tab w:val="left" w:pos="993"/>
          <w:tab w:val="left" w:pos="1134"/>
        </w:tabs>
        <w:adjustRightInd w:val="0"/>
        <w:snapToGrid w:val="0"/>
        <w:spacing w:line="360" w:lineRule="auto"/>
        <w:ind w:firstLine="560"/>
        <w:rPr>
          <w:rFonts w:hint="eastAsia" w:ascii="宋体" w:hAnsi="宋体" w:eastAsia="宋体" w:cs="宋体"/>
          <w:b w:val="0"/>
          <w:snapToGrid w:val="0"/>
          <w:color w:val="000000"/>
          <w:sz w:val="28"/>
          <w:highlight w:val="none"/>
        </w:rPr>
      </w:pPr>
      <w:r>
        <w:rPr>
          <w:rFonts w:hint="eastAsia" w:ascii="宋体" w:hAnsi="宋体" w:eastAsia="宋体" w:cs="宋体"/>
          <w:b w:val="0"/>
          <w:snapToGrid w:val="0"/>
          <w:color w:val="000000"/>
          <w:sz w:val="28"/>
          <w:highlight w:val="none"/>
          <w:lang w:val="en-US" w:eastAsia="zh-CN"/>
        </w:rPr>
        <w:t>15.5.3</w:t>
      </w:r>
      <w:r>
        <w:rPr>
          <w:rFonts w:hint="eastAsia" w:ascii="宋体" w:hAnsi="宋体" w:eastAsia="宋体" w:cs="宋体"/>
          <w:b w:val="0"/>
          <w:snapToGrid w:val="0"/>
          <w:color w:val="000000"/>
          <w:sz w:val="28"/>
          <w:highlight w:val="none"/>
        </w:rPr>
        <w:t>经评审的最低价法：</w:t>
      </w:r>
    </w:p>
    <w:p w14:paraId="154D9942">
      <w:pPr>
        <w:pStyle w:val="8"/>
        <w:adjustRightInd w:val="0"/>
        <w:snapToGrid w:val="0"/>
        <w:spacing w:line="360" w:lineRule="auto"/>
        <w:rPr>
          <w:rFonts w:hint="eastAsia" w:ascii="宋体" w:hAnsi="宋体" w:eastAsia="宋体" w:cs="宋体"/>
          <w:bCs/>
          <w:snapToGrid w:val="0"/>
          <w:color w:val="000000"/>
          <w:highlight w:val="none"/>
          <w:lang w:val="en-US" w:eastAsia="zh-CN"/>
        </w:rPr>
      </w:pPr>
      <w:r>
        <w:rPr>
          <w:rFonts w:hint="eastAsia" w:hAnsi="宋体" w:cs="宋体"/>
          <w:bCs/>
          <w:snapToGrid w:val="0"/>
          <w:color w:val="000000"/>
          <w:highlight w:val="none"/>
        </w:rPr>
        <w:t>本次招标采用经评审的</w:t>
      </w:r>
      <w:r>
        <w:rPr>
          <w:rFonts w:hint="eastAsia" w:hAnsi="宋体" w:cs="宋体"/>
          <w:bCs/>
          <w:snapToGrid w:val="0"/>
          <w:color w:val="000000"/>
          <w:highlight w:val="none"/>
          <w:lang w:val="en-US" w:eastAsia="zh-CN"/>
        </w:rPr>
        <w:t>合理</w:t>
      </w:r>
      <w:r>
        <w:rPr>
          <w:rFonts w:hint="eastAsia" w:hAnsi="宋体" w:cs="宋体"/>
          <w:bCs/>
          <w:snapToGrid w:val="0"/>
          <w:color w:val="000000"/>
          <w:highlight w:val="none"/>
        </w:rPr>
        <w:t>低价法，是指在投标文件能够满足招标文件实质性要求的投标人中，评审出投标价格最低的投标人。</w:t>
      </w:r>
    </w:p>
    <w:p w14:paraId="5F7F33F2">
      <w:pPr>
        <w:pStyle w:val="8"/>
        <w:adjustRightInd w:val="0"/>
        <w:snapToGrid w:val="0"/>
        <w:spacing w:line="360" w:lineRule="auto"/>
        <w:rPr>
          <w:rFonts w:hint="eastAsia" w:hAnsi="宋体" w:cs="宋体"/>
          <w:bCs/>
          <w:snapToGrid w:val="0"/>
          <w:color w:val="000000"/>
          <w:highlight w:val="none"/>
        </w:rPr>
      </w:pPr>
      <w:r>
        <w:rPr>
          <w:rFonts w:hint="eastAsia" w:hAnsi="宋体" w:cs="宋体"/>
          <w:bCs/>
          <w:snapToGrid w:val="0"/>
          <w:color w:val="000000"/>
          <w:highlight w:val="none"/>
          <w:lang w:val="en-US" w:eastAsia="zh-CN"/>
        </w:rPr>
        <w:t xml:space="preserve">15.6 </w:t>
      </w:r>
      <w:r>
        <w:rPr>
          <w:rFonts w:hint="eastAsia" w:hAnsi="宋体" w:cs="宋体"/>
          <w:bCs/>
          <w:snapToGrid w:val="0"/>
          <w:color w:val="000000"/>
          <w:highlight w:val="none"/>
        </w:rPr>
        <w:t>定标原则</w:t>
      </w:r>
    </w:p>
    <w:p w14:paraId="40B8050B">
      <w:pPr>
        <w:pStyle w:val="8"/>
        <w:adjustRightInd w:val="0"/>
        <w:snapToGrid w:val="0"/>
        <w:spacing w:line="360" w:lineRule="auto"/>
        <w:rPr>
          <w:rFonts w:hint="eastAsia" w:hAnsi="宋体" w:cs="宋体"/>
          <w:bCs/>
          <w:snapToGrid w:val="0"/>
          <w:color w:val="000000"/>
          <w:highlight w:val="none"/>
        </w:rPr>
      </w:pPr>
      <w:r>
        <w:rPr>
          <w:rFonts w:hint="eastAsia" w:hAnsi="宋体" w:cs="宋体"/>
          <w:bCs/>
          <w:snapToGrid w:val="0"/>
          <w:color w:val="000000"/>
          <w:highlight w:val="none"/>
          <w:lang w:val="en-US" w:eastAsia="zh-CN"/>
        </w:rPr>
        <w:t xml:space="preserve">15.6.1 </w:t>
      </w:r>
      <w:r>
        <w:rPr>
          <w:rFonts w:hint="eastAsia" w:hAnsi="宋体" w:cs="宋体"/>
          <w:bCs/>
          <w:snapToGrid w:val="0"/>
          <w:color w:val="000000"/>
          <w:highlight w:val="none"/>
        </w:rPr>
        <w:t>能够满足招标文件的实质性要求。</w:t>
      </w:r>
    </w:p>
    <w:p w14:paraId="2ADE2278">
      <w:pPr>
        <w:pStyle w:val="8"/>
        <w:adjustRightInd w:val="0"/>
        <w:snapToGrid w:val="0"/>
        <w:spacing w:line="360" w:lineRule="auto"/>
        <w:rPr>
          <w:rFonts w:hint="eastAsia" w:hAnsi="宋体" w:cs="宋体"/>
          <w:bCs/>
          <w:snapToGrid w:val="0"/>
          <w:color w:val="000000"/>
          <w:highlight w:val="none"/>
        </w:rPr>
      </w:pPr>
      <w:r>
        <w:rPr>
          <w:rFonts w:hint="eastAsia" w:hAnsi="宋体" w:cs="宋体"/>
          <w:bCs/>
          <w:snapToGrid w:val="0"/>
          <w:color w:val="000000"/>
          <w:highlight w:val="none"/>
          <w:lang w:val="en-US" w:eastAsia="zh-CN"/>
        </w:rPr>
        <w:t xml:space="preserve">15.6.2 </w:t>
      </w:r>
      <w:r>
        <w:rPr>
          <w:rFonts w:hint="eastAsia" w:hAnsi="宋体" w:cs="宋体"/>
          <w:bCs/>
          <w:snapToGrid w:val="0"/>
          <w:color w:val="000000"/>
          <w:highlight w:val="none"/>
        </w:rPr>
        <w:t>能够最大限度满足招标文件中规定的各项综合评价标准。</w:t>
      </w:r>
    </w:p>
    <w:p w14:paraId="6BC4DCC5">
      <w:pPr>
        <w:pStyle w:val="8"/>
        <w:adjustRightInd w:val="0"/>
        <w:snapToGrid w:val="0"/>
        <w:spacing w:line="360" w:lineRule="auto"/>
        <w:rPr>
          <w:rFonts w:hint="eastAsia" w:ascii="宋体" w:hAnsi="宋体" w:eastAsia="宋体" w:cs="宋体"/>
          <w:bCs/>
          <w:snapToGrid w:val="0"/>
          <w:color w:val="000000"/>
          <w:highlight w:val="none"/>
          <w:lang w:val="en-US" w:eastAsia="zh-CN"/>
        </w:rPr>
      </w:pPr>
      <w:r>
        <w:rPr>
          <w:rFonts w:hint="eastAsia" w:hAnsi="宋体" w:cs="宋体"/>
          <w:bCs/>
          <w:snapToGrid w:val="0"/>
          <w:color w:val="000000"/>
          <w:highlight w:val="none"/>
          <w:lang w:val="en-US" w:eastAsia="zh-CN"/>
        </w:rPr>
        <w:t>15.6.3 评分</w:t>
      </w:r>
      <w:r>
        <w:rPr>
          <w:rFonts w:hint="eastAsia" w:hAnsi="宋体" w:cs="宋体"/>
          <w:bCs/>
          <w:snapToGrid w:val="0"/>
          <w:color w:val="000000"/>
          <w:highlight w:val="none"/>
        </w:rPr>
        <w:t>相同时由评标委员会确定</w:t>
      </w:r>
      <w:r>
        <w:rPr>
          <w:rFonts w:hint="eastAsia" w:hAnsi="宋体" w:cs="宋体"/>
          <w:bCs/>
          <w:snapToGrid w:val="0"/>
          <w:color w:val="000000"/>
          <w:highlight w:val="none"/>
          <w:lang w:val="en-US" w:eastAsia="zh-CN"/>
        </w:rPr>
        <w:t>。</w:t>
      </w:r>
    </w:p>
    <w:p w14:paraId="3BE383FC">
      <w:pPr>
        <w:pStyle w:val="8"/>
        <w:adjustRightInd w:val="0"/>
        <w:snapToGrid w:val="0"/>
        <w:spacing w:line="360" w:lineRule="auto"/>
        <w:rPr>
          <w:rFonts w:hint="eastAsia" w:ascii="宋体" w:hAnsi="宋体" w:cs="宋体"/>
          <w:b/>
          <w:snapToGrid w:val="0"/>
          <w:color w:val="000000"/>
          <w:sz w:val="30"/>
          <w:highlight w:val="none"/>
        </w:rPr>
      </w:pPr>
    </w:p>
    <w:p w14:paraId="6B89A1A3">
      <w:pPr>
        <w:tabs>
          <w:tab w:val="left" w:pos="0"/>
          <w:tab w:val="left" w:pos="993"/>
          <w:tab w:val="left" w:pos="1134"/>
        </w:tabs>
        <w:adjustRightInd w:val="0"/>
        <w:snapToGrid w:val="0"/>
        <w:spacing w:line="360" w:lineRule="auto"/>
        <w:jc w:val="center"/>
        <w:rPr>
          <w:rFonts w:hint="eastAsia" w:ascii="宋体" w:hAnsi="宋体" w:cs="宋体"/>
          <w:snapToGrid w:val="0"/>
          <w:color w:val="000000"/>
          <w:sz w:val="28"/>
          <w:highlight w:val="none"/>
        </w:rPr>
      </w:pPr>
      <w:r>
        <w:rPr>
          <w:rFonts w:hint="eastAsia" w:ascii="宋体" w:hAnsi="宋体" w:cs="宋体"/>
          <w:b/>
          <w:snapToGrid w:val="0"/>
          <w:color w:val="000000"/>
          <w:sz w:val="30"/>
          <w:highlight w:val="none"/>
        </w:rPr>
        <w:t>八、授  予  合  同</w:t>
      </w:r>
    </w:p>
    <w:p w14:paraId="60CF2FBC">
      <w:pPr>
        <w:tabs>
          <w:tab w:val="left" w:pos="0"/>
          <w:tab w:val="left" w:pos="993"/>
          <w:tab w:val="left" w:pos="1134"/>
        </w:tabs>
        <w:adjustRightInd w:val="0"/>
        <w:snapToGrid w:val="0"/>
        <w:spacing w:line="360" w:lineRule="auto"/>
        <w:ind w:firstLine="567"/>
        <w:rPr>
          <w:rFonts w:hint="eastAsia" w:ascii="宋体" w:hAnsi="宋体" w:cs="宋体"/>
          <w:snapToGrid w:val="0"/>
          <w:color w:val="000000"/>
          <w:sz w:val="28"/>
          <w:highlight w:val="none"/>
        </w:rPr>
      </w:pPr>
      <w:r>
        <w:rPr>
          <w:rFonts w:hint="eastAsia" w:ascii="宋体" w:hAnsi="宋体" w:cs="宋体"/>
          <w:snapToGrid w:val="0"/>
          <w:color w:val="000000"/>
          <w:sz w:val="28"/>
          <w:highlight w:val="none"/>
          <w:lang w:eastAsia="zh-CN"/>
        </w:rPr>
        <w:t>第</w:t>
      </w:r>
      <w:r>
        <w:rPr>
          <w:rFonts w:hint="eastAsia" w:ascii="宋体" w:hAnsi="宋体" w:cs="宋体"/>
          <w:snapToGrid w:val="0"/>
          <w:color w:val="000000"/>
          <w:sz w:val="28"/>
          <w:highlight w:val="none"/>
          <w:lang w:val="en-US" w:eastAsia="zh-CN"/>
        </w:rPr>
        <w:t xml:space="preserve">16条 </w:t>
      </w:r>
      <w:r>
        <w:rPr>
          <w:rFonts w:hint="eastAsia" w:ascii="宋体" w:hAnsi="宋体" w:cs="宋体"/>
          <w:snapToGrid w:val="0"/>
          <w:color w:val="000000"/>
          <w:sz w:val="28"/>
          <w:highlight w:val="none"/>
        </w:rPr>
        <w:t>中标</w:t>
      </w:r>
    </w:p>
    <w:p w14:paraId="125A0219">
      <w:pPr>
        <w:numPr>
          <w:ilvl w:val="0"/>
          <w:numId w:val="0"/>
        </w:numPr>
        <w:tabs>
          <w:tab w:val="left" w:pos="0"/>
          <w:tab w:val="left" w:pos="1134"/>
        </w:tabs>
        <w:adjustRightInd w:val="0"/>
        <w:snapToGrid w:val="0"/>
        <w:spacing w:line="360" w:lineRule="auto"/>
        <w:ind w:left="0" w:firstLine="560" w:firstLineChars="200"/>
        <w:rPr>
          <w:rFonts w:hint="eastAsia" w:ascii="宋体" w:hAnsi="宋体" w:cs="宋体"/>
          <w:snapToGrid w:val="0"/>
          <w:color w:val="000000"/>
          <w:sz w:val="28"/>
          <w:highlight w:val="none"/>
        </w:rPr>
      </w:pPr>
      <w:r>
        <w:rPr>
          <w:rFonts w:hint="eastAsia" w:ascii="宋体" w:hAnsi="宋体" w:cs="宋体"/>
          <w:snapToGrid w:val="0"/>
          <w:color w:val="000000"/>
          <w:sz w:val="28"/>
          <w:highlight w:val="none"/>
          <w:lang w:val="en-US" w:eastAsia="zh-CN"/>
        </w:rPr>
        <w:t xml:space="preserve">16.1 </w:t>
      </w:r>
      <w:r>
        <w:rPr>
          <w:rFonts w:hint="eastAsia" w:ascii="宋体" w:hAnsi="宋体" w:cs="宋体"/>
          <w:snapToGrid w:val="0"/>
          <w:color w:val="000000"/>
          <w:sz w:val="28"/>
          <w:highlight w:val="none"/>
        </w:rPr>
        <w:t>根据工程招标投标的有关法律、法规、规章和该工程招标文件的规定，工作小组推荐排序第一名的中标候选人为中标人，未有质疑的，招标人将向中标单位发出中标通知书，并同时通知其他投标人。中标通知书将成为合同的组成部分。</w:t>
      </w:r>
    </w:p>
    <w:p w14:paraId="7F6375EA">
      <w:pPr>
        <w:numPr>
          <w:ilvl w:val="0"/>
          <w:numId w:val="0"/>
        </w:numPr>
        <w:tabs>
          <w:tab w:val="left" w:pos="0"/>
          <w:tab w:val="left" w:pos="1134"/>
        </w:tabs>
        <w:adjustRightInd w:val="0"/>
        <w:snapToGrid w:val="0"/>
        <w:spacing w:line="360" w:lineRule="auto"/>
        <w:ind w:left="0" w:firstLine="560" w:firstLineChars="200"/>
        <w:rPr>
          <w:rFonts w:hint="eastAsia" w:ascii="宋体" w:hAnsi="宋体" w:cs="宋体"/>
          <w:snapToGrid w:val="0"/>
          <w:color w:val="000000"/>
          <w:sz w:val="28"/>
          <w:highlight w:val="none"/>
        </w:rPr>
      </w:pPr>
      <w:r>
        <w:rPr>
          <w:rFonts w:hint="eastAsia" w:ascii="宋体" w:hAnsi="宋体" w:cs="宋体"/>
          <w:snapToGrid w:val="0"/>
          <w:color w:val="000000"/>
          <w:sz w:val="28"/>
          <w:highlight w:val="none"/>
          <w:lang w:val="en-US" w:eastAsia="zh-CN"/>
        </w:rPr>
        <w:t xml:space="preserve">16.2 </w:t>
      </w:r>
      <w:r>
        <w:rPr>
          <w:rFonts w:hint="eastAsia" w:ascii="宋体" w:hAnsi="宋体" w:cs="宋体"/>
          <w:snapToGrid w:val="0"/>
          <w:color w:val="000000"/>
          <w:sz w:val="28"/>
          <w:highlight w:val="none"/>
        </w:rPr>
        <w:t xml:space="preserve">中标单位收到中标通知书后，应在7日内与招标人签订施工合同。中标人不与招标人订立合同的，招标人有权取消其中标资格，由此给招标人造成的损失，应予以赔偿。 </w:t>
      </w:r>
    </w:p>
    <w:p w14:paraId="2C8A27D3">
      <w:pPr>
        <w:tabs>
          <w:tab w:val="left" w:pos="0"/>
          <w:tab w:val="left" w:pos="993"/>
          <w:tab w:val="left" w:pos="1134"/>
        </w:tabs>
        <w:adjustRightInd w:val="0"/>
        <w:snapToGrid w:val="0"/>
        <w:spacing w:line="360" w:lineRule="auto"/>
        <w:ind w:firstLine="560" w:firstLineChars="200"/>
        <w:rPr>
          <w:rFonts w:hint="eastAsia" w:ascii="宋体" w:hAnsi="宋体" w:cs="宋体"/>
          <w:snapToGrid w:val="0"/>
          <w:color w:val="000000"/>
          <w:sz w:val="28"/>
          <w:highlight w:val="none"/>
        </w:rPr>
      </w:pPr>
      <w:r>
        <w:rPr>
          <w:rFonts w:hint="eastAsia" w:ascii="宋体" w:hAnsi="宋体" w:cs="宋体"/>
          <w:snapToGrid w:val="0"/>
          <w:color w:val="000000"/>
          <w:sz w:val="28"/>
          <w:highlight w:val="none"/>
          <w:lang w:eastAsia="zh-CN"/>
        </w:rPr>
        <w:t>第</w:t>
      </w:r>
      <w:r>
        <w:rPr>
          <w:rFonts w:hint="eastAsia" w:ascii="宋体" w:hAnsi="宋体" w:cs="宋体"/>
          <w:snapToGrid w:val="0"/>
          <w:color w:val="000000"/>
          <w:sz w:val="28"/>
          <w:highlight w:val="none"/>
          <w:lang w:val="en-US" w:eastAsia="zh-CN"/>
        </w:rPr>
        <w:t xml:space="preserve">17条 </w:t>
      </w:r>
      <w:r>
        <w:rPr>
          <w:rFonts w:hint="eastAsia" w:ascii="宋体" w:hAnsi="宋体" w:cs="宋体"/>
          <w:snapToGrid w:val="0"/>
          <w:color w:val="000000"/>
          <w:sz w:val="28"/>
          <w:highlight w:val="none"/>
        </w:rPr>
        <w:t>合同签订</w:t>
      </w:r>
    </w:p>
    <w:p w14:paraId="4299A304">
      <w:pPr>
        <w:tabs>
          <w:tab w:val="left" w:pos="0"/>
          <w:tab w:val="left" w:pos="993"/>
          <w:tab w:val="left" w:pos="1134"/>
        </w:tabs>
        <w:adjustRightInd w:val="0"/>
        <w:snapToGrid w:val="0"/>
        <w:spacing w:line="360" w:lineRule="auto"/>
        <w:ind w:firstLine="560" w:firstLineChars="200"/>
        <w:rPr>
          <w:rFonts w:hint="eastAsia" w:ascii="宋体" w:hAnsi="宋体" w:cs="宋体"/>
          <w:snapToGrid w:val="0"/>
          <w:color w:val="000000"/>
          <w:sz w:val="18"/>
          <w:highlight w:val="none"/>
        </w:rPr>
      </w:pPr>
      <w:r>
        <w:rPr>
          <w:rFonts w:hint="eastAsia" w:ascii="宋体" w:hAnsi="宋体" w:cs="宋体"/>
          <w:snapToGrid w:val="0"/>
          <w:color w:val="000000"/>
          <w:sz w:val="28"/>
          <w:highlight w:val="none"/>
          <w:lang w:val="en-US" w:eastAsia="zh-CN"/>
        </w:rPr>
        <w:t xml:space="preserve">17.1 </w:t>
      </w:r>
      <w:r>
        <w:rPr>
          <w:rFonts w:hint="eastAsia" w:ascii="宋体" w:hAnsi="宋体" w:cs="宋体"/>
          <w:snapToGrid w:val="0"/>
          <w:color w:val="000000"/>
          <w:sz w:val="28"/>
          <w:highlight w:val="none"/>
        </w:rPr>
        <w:t>招标人与中标人将根据《中华人民共和国</w:t>
      </w:r>
      <w:r>
        <w:rPr>
          <w:rFonts w:hint="eastAsia" w:ascii="宋体" w:hAnsi="宋体" w:cs="宋体"/>
          <w:snapToGrid w:val="0"/>
          <w:color w:val="000000"/>
          <w:sz w:val="28"/>
          <w:highlight w:val="none"/>
          <w:lang w:val="en-US" w:eastAsia="zh-CN"/>
        </w:rPr>
        <w:t>民法典</w:t>
      </w:r>
      <w:r>
        <w:rPr>
          <w:rFonts w:hint="eastAsia" w:ascii="宋体" w:hAnsi="宋体" w:cs="宋体"/>
          <w:snapToGrid w:val="0"/>
          <w:color w:val="000000"/>
          <w:sz w:val="28"/>
          <w:highlight w:val="none"/>
        </w:rPr>
        <w:t>》的规定，依据招标文件和投标文件签订书面施工合同。</w:t>
      </w:r>
    </w:p>
    <w:p w14:paraId="49A6A557">
      <w:pPr>
        <w:tabs>
          <w:tab w:val="left" w:pos="0"/>
          <w:tab w:val="left" w:pos="709"/>
        </w:tabs>
        <w:adjustRightInd w:val="0"/>
        <w:snapToGrid w:val="0"/>
        <w:spacing w:line="360" w:lineRule="auto"/>
        <w:ind w:left="567"/>
        <w:rPr>
          <w:rFonts w:hint="eastAsia" w:ascii="宋体" w:hAnsi="宋体" w:cs="宋体"/>
          <w:snapToGrid w:val="0"/>
          <w:color w:val="000000"/>
          <w:sz w:val="28"/>
          <w:highlight w:val="none"/>
        </w:rPr>
      </w:pPr>
    </w:p>
    <w:p w14:paraId="6E136CCD">
      <w:pPr>
        <w:autoSpaceDE w:val="0"/>
        <w:autoSpaceDN w:val="0"/>
        <w:adjustRightInd w:val="0"/>
        <w:snapToGrid w:val="0"/>
        <w:spacing w:line="440" w:lineRule="exact"/>
        <w:ind w:firstLine="560"/>
        <w:rPr>
          <w:rFonts w:hint="eastAsia" w:ascii="宋体" w:hAnsi="宋体"/>
          <w:snapToGrid w:val="0"/>
          <w:color w:val="000000"/>
          <w:sz w:val="28"/>
          <w:szCs w:val="28"/>
          <w:highlight w:val="none"/>
        </w:rPr>
      </w:pPr>
    </w:p>
    <w:p w14:paraId="70AA77E8">
      <w:pPr>
        <w:pStyle w:val="9"/>
        <w:jc w:val="both"/>
        <w:rPr>
          <w:rFonts w:hint="eastAsia" w:ascii="仿宋_GB2312" w:hAnsi="宋体" w:eastAsia="仿宋_GB2312"/>
          <w:color w:val="000000"/>
          <w:sz w:val="36"/>
          <w:highlight w:val="none"/>
        </w:rPr>
      </w:pPr>
    </w:p>
    <w:p w14:paraId="62181572">
      <w:pPr>
        <w:pStyle w:val="9"/>
        <w:jc w:val="left"/>
        <w:rPr>
          <w:rFonts w:hint="eastAsia" w:ascii="仿宋_GB2312" w:hAnsi="宋体" w:eastAsia="仿宋_GB2312"/>
          <w:color w:val="000000"/>
          <w:sz w:val="28"/>
          <w:szCs w:val="28"/>
          <w:highlight w:val="none"/>
        </w:rPr>
      </w:pPr>
    </w:p>
    <w:p w14:paraId="07870D62">
      <w:pPr>
        <w:pStyle w:val="9"/>
        <w:jc w:val="left"/>
        <w:rPr>
          <w:rFonts w:hint="eastAsia" w:ascii="仿宋_GB2312" w:hAnsi="宋体" w:eastAsia="仿宋_GB2312"/>
          <w:color w:val="000000"/>
          <w:sz w:val="28"/>
          <w:szCs w:val="28"/>
          <w:highlight w:val="none"/>
        </w:rPr>
      </w:pPr>
    </w:p>
    <w:p w14:paraId="67E1800A">
      <w:pPr>
        <w:pStyle w:val="9"/>
        <w:jc w:val="left"/>
        <w:rPr>
          <w:rFonts w:hint="eastAsia" w:ascii="仿宋_GB2312" w:hAnsi="宋体" w:eastAsia="仿宋_GB2312"/>
          <w:color w:val="000000"/>
          <w:sz w:val="28"/>
          <w:szCs w:val="28"/>
          <w:highlight w:val="none"/>
        </w:rPr>
      </w:pPr>
    </w:p>
    <w:p w14:paraId="16EC5F68">
      <w:pPr>
        <w:pStyle w:val="9"/>
        <w:jc w:val="left"/>
        <w:rPr>
          <w:rFonts w:hint="eastAsia" w:ascii="仿宋_GB2312" w:hAnsi="宋体" w:eastAsia="仿宋_GB2312"/>
          <w:color w:val="000000"/>
          <w:sz w:val="28"/>
          <w:szCs w:val="28"/>
          <w:highlight w:val="none"/>
        </w:rPr>
      </w:pPr>
    </w:p>
    <w:p w14:paraId="3BA65484">
      <w:pPr>
        <w:pStyle w:val="9"/>
        <w:jc w:val="left"/>
        <w:rPr>
          <w:rFonts w:hint="eastAsia" w:ascii="仿宋_GB2312" w:hAnsi="宋体" w:eastAsia="仿宋_GB2312"/>
          <w:color w:val="000000"/>
          <w:sz w:val="28"/>
          <w:szCs w:val="28"/>
          <w:highlight w:val="none"/>
        </w:rPr>
      </w:pPr>
    </w:p>
    <w:p w14:paraId="3FA8CA74">
      <w:pPr>
        <w:pStyle w:val="9"/>
        <w:jc w:val="left"/>
        <w:rPr>
          <w:rFonts w:hint="eastAsia" w:ascii="仿宋_GB2312" w:hAnsi="宋体" w:eastAsia="仿宋_GB2312"/>
          <w:color w:val="000000"/>
          <w:sz w:val="28"/>
          <w:szCs w:val="28"/>
          <w:highlight w:val="none"/>
        </w:rPr>
      </w:pPr>
    </w:p>
    <w:p w14:paraId="09839098">
      <w:pPr>
        <w:pStyle w:val="9"/>
        <w:jc w:val="left"/>
        <w:rPr>
          <w:rFonts w:hint="eastAsia" w:ascii="仿宋_GB2312" w:hAnsi="宋体" w:eastAsia="仿宋_GB2312"/>
          <w:color w:val="000000"/>
          <w:sz w:val="28"/>
          <w:szCs w:val="28"/>
          <w:highlight w:val="none"/>
        </w:rPr>
      </w:pPr>
    </w:p>
    <w:p w14:paraId="5F9AB792">
      <w:pPr>
        <w:pStyle w:val="9"/>
        <w:jc w:val="left"/>
        <w:rPr>
          <w:rFonts w:hint="eastAsia" w:ascii="仿宋_GB2312" w:hAnsi="宋体" w:eastAsia="仿宋_GB2312"/>
          <w:color w:val="000000"/>
          <w:sz w:val="28"/>
          <w:szCs w:val="28"/>
          <w:highlight w:val="none"/>
        </w:rPr>
      </w:pPr>
    </w:p>
    <w:p w14:paraId="20C7BC2B">
      <w:pPr>
        <w:pStyle w:val="9"/>
        <w:jc w:val="left"/>
        <w:rPr>
          <w:rFonts w:hint="eastAsia" w:ascii="仿宋_GB2312" w:hAnsi="宋体" w:eastAsia="仿宋_GB2312"/>
          <w:color w:val="000000"/>
          <w:sz w:val="28"/>
          <w:szCs w:val="28"/>
          <w:highlight w:val="none"/>
        </w:rPr>
      </w:pPr>
    </w:p>
    <w:p w14:paraId="36083746">
      <w:pPr>
        <w:pStyle w:val="9"/>
        <w:jc w:val="left"/>
        <w:rPr>
          <w:rFonts w:hint="eastAsia" w:ascii="仿宋_GB2312" w:hAnsi="宋体" w:eastAsia="仿宋_GB2312"/>
          <w:color w:val="000000"/>
          <w:sz w:val="28"/>
          <w:szCs w:val="28"/>
          <w:highlight w:val="none"/>
        </w:rPr>
      </w:pPr>
    </w:p>
    <w:p w14:paraId="43752906">
      <w:pPr>
        <w:pStyle w:val="9"/>
        <w:jc w:val="left"/>
        <w:rPr>
          <w:rFonts w:hint="eastAsia" w:ascii="仿宋_GB2312" w:hAnsi="宋体" w:eastAsia="仿宋_GB2312"/>
          <w:color w:val="000000"/>
          <w:sz w:val="28"/>
          <w:szCs w:val="28"/>
          <w:highlight w:val="none"/>
        </w:rPr>
      </w:pPr>
    </w:p>
    <w:p w14:paraId="63453FD9">
      <w:pPr>
        <w:pStyle w:val="9"/>
        <w:jc w:val="left"/>
        <w:rPr>
          <w:rFonts w:hint="eastAsia" w:ascii="仿宋_GB2312" w:hAnsi="宋体" w:eastAsia="仿宋_GB2312"/>
          <w:color w:val="000000"/>
          <w:sz w:val="28"/>
          <w:szCs w:val="28"/>
          <w:highlight w:val="none"/>
        </w:rPr>
      </w:pPr>
    </w:p>
    <w:p w14:paraId="074F69A6">
      <w:pPr>
        <w:pStyle w:val="9"/>
        <w:jc w:val="left"/>
        <w:rPr>
          <w:rFonts w:hint="eastAsia" w:ascii="仿宋_GB2312" w:hAnsi="宋体" w:eastAsia="仿宋_GB2312"/>
          <w:color w:val="000000"/>
          <w:sz w:val="28"/>
          <w:szCs w:val="28"/>
          <w:highlight w:val="none"/>
        </w:rPr>
      </w:pPr>
    </w:p>
    <w:p w14:paraId="4AB644F8">
      <w:pPr>
        <w:rPr>
          <w:rFonts w:hint="eastAsia" w:ascii="仿宋_GB2312" w:hAnsi="宋体" w:eastAsia="仿宋_GB2312"/>
          <w:color w:val="000000"/>
          <w:sz w:val="28"/>
          <w:szCs w:val="28"/>
          <w:highlight w:val="none"/>
        </w:rPr>
      </w:pPr>
      <w:r>
        <w:rPr>
          <w:rFonts w:hint="eastAsia" w:ascii="仿宋_GB2312" w:hAnsi="宋体" w:eastAsia="仿宋_GB2312"/>
          <w:color w:val="000000"/>
          <w:sz w:val="28"/>
          <w:szCs w:val="28"/>
          <w:highlight w:val="none"/>
        </w:rPr>
        <w:br w:type="page"/>
      </w:r>
    </w:p>
    <w:p w14:paraId="6EE440E0">
      <w:pPr>
        <w:pStyle w:val="9"/>
        <w:jc w:val="left"/>
        <w:rPr>
          <w:rFonts w:hint="eastAsia" w:ascii="仿宋_GB2312" w:hAnsi="宋体" w:eastAsia="仿宋_GB2312"/>
          <w:color w:val="000000"/>
          <w:sz w:val="28"/>
          <w:szCs w:val="28"/>
          <w:highlight w:val="none"/>
        </w:rPr>
      </w:pPr>
      <w:r>
        <w:rPr>
          <w:rFonts w:hint="eastAsia" w:ascii="仿宋_GB2312" w:hAnsi="宋体" w:eastAsia="仿宋_GB2312"/>
          <w:color w:val="000000"/>
          <w:sz w:val="28"/>
          <w:szCs w:val="28"/>
          <w:highlight w:val="none"/>
        </w:rPr>
        <w:t>附件1</w:t>
      </w:r>
    </w:p>
    <w:p w14:paraId="597DA8C6">
      <w:pPr>
        <w:pStyle w:val="9"/>
        <w:jc w:val="both"/>
        <w:rPr>
          <w:rFonts w:ascii="仿宋_GB2312" w:hAnsi="宋体" w:eastAsia="仿宋_GB2312"/>
          <w:color w:val="000000"/>
          <w:sz w:val="36"/>
          <w:highlight w:val="none"/>
        </w:rPr>
      </w:pPr>
    </w:p>
    <w:p w14:paraId="1C2B32E2">
      <w:pPr>
        <w:pStyle w:val="9"/>
        <w:jc w:val="both"/>
        <w:rPr>
          <w:rFonts w:hint="eastAsia" w:ascii="宋体" w:hAnsi="宋体" w:eastAsia="宋体" w:cs="宋体"/>
          <w:b/>
          <w:bCs/>
          <w:color w:val="000000"/>
          <w:sz w:val="36"/>
          <w:szCs w:val="36"/>
          <w:highlight w:val="none"/>
        </w:rPr>
      </w:pPr>
    </w:p>
    <w:p w14:paraId="6DBEBE54">
      <w:pPr>
        <w:jc w:val="right"/>
        <w:outlineLvl w:val="0"/>
        <w:rPr>
          <w:rFonts w:hint="eastAsia" w:ascii="宋体" w:hAnsi="宋体" w:eastAsia="宋体" w:cs="Times New Roman"/>
          <w:b/>
          <w:color w:val="000000"/>
          <w:sz w:val="72"/>
          <w:szCs w:val="72"/>
          <w:highlight w:val="none"/>
          <w:lang w:eastAsia="zh-CN"/>
        </w:rPr>
      </w:pPr>
      <w:r>
        <w:rPr>
          <w:rFonts w:hint="eastAsia" w:ascii="黑体" w:hAnsi="黑体" w:eastAsia="黑体" w:cs="黑体"/>
          <w:b/>
          <w:color w:val="000000"/>
          <w:sz w:val="72"/>
          <w:szCs w:val="72"/>
          <w:highlight w:val="none"/>
          <w:lang w:eastAsia="zh-CN"/>
        </w:rPr>
        <w:t>正本</w:t>
      </w:r>
    </w:p>
    <w:p w14:paraId="284300DD">
      <w:pPr>
        <w:jc w:val="center"/>
        <w:outlineLvl w:val="0"/>
        <w:rPr>
          <w:rFonts w:hint="eastAsia" w:ascii="宋体" w:hAnsi="宋体" w:eastAsia="宋体" w:cs="Times New Roman"/>
          <w:b/>
          <w:color w:val="000000"/>
          <w:sz w:val="44"/>
          <w:szCs w:val="44"/>
          <w:highlight w:val="none"/>
        </w:rPr>
      </w:pPr>
    </w:p>
    <w:p w14:paraId="65A6F924">
      <w:pPr>
        <w:jc w:val="both"/>
        <w:outlineLvl w:val="0"/>
        <w:rPr>
          <w:rFonts w:hint="eastAsia" w:ascii="宋体" w:hAnsi="宋体" w:eastAsia="宋体" w:cs="Times New Roman"/>
          <w:b/>
          <w:color w:val="000000"/>
          <w:sz w:val="44"/>
          <w:szCs w:val="44"/>
          <w:highlight w:val="none"/>
          <w:lang w:eastAsia="zh-CN"/>
        </w:rPr>
      </w:pPr>
      <w:r>
        <w:rPr>
          <w:rFonts w:hint="eastAsia" w:ascii="宋体" w:hAnsi="宋体" w:eastAsia="宋体" w:cs="Times New Roman"/>
          <w:b/>
          <w:color w:val="000000"/>
          <w:sz w:val="44"/>
          <w:szCs w:val="44"/>
          <w:highlight w:val="none"/>
          <w:lang w:eastAsia="zh-CN"/>
        </w:rPr>
        <w:t>项目名称：</w:t>
      </w:r>
    </w:p>
    <w:p w14:paraId="01318442">
      <w:pPr>
        <w:pStyle w:val="2"/>
        <w:rPr>
          <w:rFonts w:hint="eastAsia"/>
          <w:color w:val="000000"/>
          <w:highlight w:val="none"/>
          <w:lang w:eastAsia="zh-CN"/>
        </w:rPr>
      </w:pPr>
    </w:p>
    <w:p w14:paraId="62093330">
      <w:pPr>
        <w:pStyle w:val="3"/>
        <w:rPr>
          <w:rFonts w:hint="eastAsia"/>
          <w:color w:val="000000"/>
          <w:highlight w:val="none"/>
          <w:lang w:eastAsia="zh-CN"/>
        </w:rPr>
      </w:pPr>
    </w:p>
    <w:p w14:paraId="6D783E95">
      <w:pPr>
        <w:jc w:val="center"/>
        <w:outlineLvl w:val="0"/>
        <w:rPr>
          <w:rFonts w:hint="eastAsia" w:ascii="宋体" w:hAnsi="宋体" w:eastAsia="宋体" w:cs="Times New Roman"/>
          <w:b/>
          <w:color w:val="000000"/>
          <w:sz w:val="44"/>
          <w:szCs w:val="44"/>
          <w:highlight w:val="none"/>
          <w:lang w:eastAsia="zh-CN"/>
        </w:rPr>
      </w:pPr>
      <w:r>
        <w:rPr>
          <w:rFonts w:hint="eastAsia" w:ascii="宋体" w:hAnsi="宋体" w:eastAsia="宋体" w:cs="Times New Roman"/>
          <w:b/>
          <w:color w:val="000000"/>
          <w:sz w:val="44"/>
          <w:szCs w:val="44"/>
          <w:highlight w:val="none"/>
          <w:lang w:eastAsia="zh-CN"/>
        </w:rPr>
        <w:t>投</w:t>
      </w:r>
    </w:p>
    <w:p w14:paraId="54AE4681">
      <w:pPr>
        <w:pStyle w:val="2"/>
        <w:jc w:val="center"/>
        <w:rPr>
          <w:rFonts w:hint="eastAsia"/>
          <w:color w:val="000000"/>
          <w:highlight w:val="none"/>
        </w:rPr>
      </w:pPr>
    </w:p>
    <w:p w14:paraId="6603BB00">
      <w:pPr>
        <w:jc w:val="center"/>
        <w:outlineLvl w:val="0"/>
        <w:rPr>
          <w:rFonts w:hint="eastAsia" w:ascii="宋体" w:hAnsi="宋体" w:eastAsia="宋体" w:cs="Times New Roman"/>
          <w:b/>
          <w:color w:val="000000"/>
          <w:sz w:val="44"/>
          <w:szCs w:val="44"/>
          <w:highlight w:val="none"/>
        </w:rPr>
      </w:pPr>
      <w:r>
        <w:rPr>
          <w:rFonts w:hint="eastAsia" w:ascii="宋体" w:hAnsi="宋体" w:eastAsia="宋体" w:cs="Times New Roman"/>
          <w:b/>
          <w:color w:val="000000"/>
          <w:sz w:val="44"/>
          <w:szCs w:val="44"/>
          <w:highlight w:val="none"/>
        </w:rPr>
        <w:t>标</w:t>
      </w:r>
    </w:p>
    <w:p w14:paraId="0729056B">
      <w:pPr>
        <w:jc w:val="center"/>
        <w:outlineLvl w:val="0"/>
        <w:rPr>
          <w:rFonts w:hint="eastAsia" w:ascii="宋体" w:hAnsi="宋体" w:eastAsia="宋体" w:cs="Times New Roman"/>
          <w:b/>
          <w:color w:val="000000"/>
          <w:sz w:val="44"/>
          <w:szCs w:val="44"/>
          <w:highlight w:val="none"/>
        </w:rPr>
      </w:pPr>
    </w:p>
    <w:p w14:paraId="2CE3DDD7">
      <w:pPr>
        <w:jc w:val="center"/>
        <w:outlineLvl w:val="0"/>
        <w:rPr>
          <w:rFonts w:hint="eastAsia" w:ascii="宋体" w:hAnsi="宋体" w:eastAsia="宋体" w:cs="Times New Roman"/>
          <w:b/>
          <w:color w:val="000000"/>
          <w:sz w:val="44"/>
          <w:szCs w:val="44"/>
          <w:highlight w:val="none"/>
        </w:rPr>
      </w:pPr>
      <w:r>
        <w:rPr>
          <w:rFonts w:hint="eastAsia" w:ascii="宋体" w:hAnsi="宋体" w:eastAsia="宋体" w:cs="Times New Roman"/>
          <w:b/>
          <w:color w:val="000000"/>
          <w:sz w:val="44"/>
          <w:szCs w:val="44"/>
          <w:highlight w:val="none"/>
          <w:lang w:eastAsia="zh-CN"/>
        </w:rPr>
        <w:t>书</w:t>
      </w:r>
    </w:p>
    <w:p w14:paraId="77EB6F97">
      <w:pPr>
        <w:jc w:val="both"/>
        <w:rPr>
          <w:rFonts w:hint="eastAsia" w:ascii="宋体" w:hAnsi="宋体"/>
          <w:b/>
          <w:color w:val="000000"/>
          <w:sz w:val="72"/>
          <w:highlight w:val="none"/>
        </w:rPr>
      </w:pPr>
    </w:p>
    <w:p w14:paraId="2AF1965A">
      <w:pPr>
        <w:ind w:firstLine="723" w:firstLineChars="200"/>
        <w:jc w:val="both"/>
        <w:rPr>
          <w:rFonts w:hint="eastAsia" w:ascii="宋体" w:hAnsi="宋体"/>
          <w:b/>
          <w:color w:val="000000"/>
          <w:sz w:val="36"/>
          <w:szCs w:val="36"/>
          <w:highlight w:val="none"/>
          <w:lang w:eastAsia="zh-CN"/>
        </w:rPr>
      </w:pPr>
    </w:p>
    <w:p w14:paraId="284675F5">
      <w:pPr>
        <w:pStyle w:val="2"/>
        <w:rPr>
          <w:rFonts w:hint="eastAsia"/>
          <w:color w:val="000000"/>
          <w:highlight w:val="none"/>
          <w:lang w:eastAsia="zh-CN"/>
        </w:rPr>
      </w:pPr>
    </w:p>
    <w:p w14:paraId="12D97C71">
      <w:pPr>
        <w:ind w:firstLine="723" w:firstLineChars="200"/>
        <w:jc w:val="both"/>
        <w:rPr>
          <w:rFonts w:hint="eastAsia" w:ascii="宋体" w:hAnsi="宋体"/>
          <w:b/>
          <w:color w:val="000000"/>
          <w:sz w:val="36"/>
          <w:szCs w:val="36"/>
          <w:highlight w:val="none"/>
          <w:u w:val="single"/>
          <w:lang w:eastAsia="zh-CN"/>
        </w:rPr>
      </w:pPr>
      <w:r>
        <w:rPr>
          <w:rFonts w:hint="eastAsia" w:ascii="宋体" w:hAnsi="宋体"/>
          <w:b/>
          <w:color w:val="000000"/>
          <w:sz w:val="36"/>
          <w:szCs w:val="36"/>
          <w:highlight w:val="none"/>
          <w:lang w:eastAsia="zh-CN"/>
        </w:rPr>
        <w:t>招</w:t>
      </w:r>
      <w:r>
        <w:rPr>
          <w:rFonts w:hint="eastAsia" w:ascii="宋体" w:hAnsi="宋体"/>
          <w:b/>
          <w:color w:val="000000"/>
          <w:sz w:val="36"/>
          <w:szCs w:val="36"/>
          <w:highlight w:val="none"/>
          <w:lang w:val="en-US" w:eastAsia="zh-CN"/>
        </w:rPr>
        <w:t xml:space="preserve"> </w:t>
      </w:r>
      <w:r>
        <w:rPr>
          <w:rFonts w:hint="eastAsia" w:ascii="宋体" w:hAnsi="宋体"/>
          <w:b/>
          <w:color w:val="000000"/>
          <w:sz w:val="36"/>
          <w:szCs w:val="36"/>
          <w:highlight w:val="none"/>
          <w:lang w:eastAsia="zh-CN"/>
        </w:rPr>
        <w:t>标</w:t>
      </w:r>
      <w:r>
        <w:rPr>
          <w:rFonts w:hint="eastAsia" w:ascii="宋体" w:hAnsi="宋体"/>
          <w:b/>
          <w:color w:val="000000"/>
          <w:sz w:val="36"/>
          <w:szCs w:val="36"/>
          <w:highlight w:val="none"/>
          <w:lang w:val="en-US" w:eastAsia="zh-CN"/>
        </w:rPr>
        <w:t xml:space="preserve"> </w:t>
      </w:r>
      <w:r>
        <w:rPr>
          <w:rFonts w:hint="eastAsia" w:ascii="宋体" w:hAnsi="宋体"/>
          <w:b/>
          <w:color w:val="000000"/>
          <w:sz w:val="36"/>
          <w:szCs w:val="36"/>
          <w:highlight w:val="none"/>
          <w:lang w:eastAsia="zh-CN"/>
        </w:rPr>
        <w:t>单</w:t>
      </w:r>
      <w:r>
        <w:rPr>
          <w:rFonts w:hint="eastAsia" w:ascii="宋体" w:hAnsi="宋体"/>
          <w:b/>
          <w:color w:val="000000"/>
          <w:sz w:val="36"/>
          <w:szCs w:val="36"/>
          <w:highlight w:val="none"/>
          <w:lang w:val="en-US" w:eastAsia="zh-CN"/>
        </w:rPr>
        <w:t xml:space="preserve"> </w:t>
      </w:r>
      <w:r>
        <w:rPr>
          <w:rFonts w:hint="eastAsia" w:ascii="宋体" w:hAnsi="宋体"/>
          <w:b/>
          <w:color w:val="000000"/>
          <w:sz w:val="36"/>
          <w:szCs w:val="36"/>
          <w:highlight w:val="none"/>
          <w:lang w:eastAsia="zh-CN"/>
        </w:rPr>
        <w:t>位：</w:t>
      </w:r>
      <w:r>
        <w:rPr>
          <w:rFonts w:hint="eastAsia" w:ascii="宋体" w:hAnsi="宋体"/>
          <w:b/>
          <w:color w:val="000000"/>
          <w:sz w:val="36"/>
          <w:szCs w:val="36"/>
          <w:highlight w:val="none"/>
          <w:u w:val="single"/>
          <w:lang w:eastAsia="zh-CN"/>
        </w:rPr>
        <w:t>扬州市上善建设工程有限公司</w:t>
      </w:r>
    </w:p>
    <w:p w14:paraId="112FCBB9">
      <w:pPr>
        <w:ind w:firstLine="720" w:firstLineChars="200"/>
        <w:jc w:val="both"/>
        <w:rPr>
          <w:rFonts w:hint="default" w:ascii="Helvetica" w:hAnsi="Helvetica" w:eastAsia="宋体" w:cs="Helvetica"/>
          <w:b/>
          <w:bCs/>
          <w:i w:val="0"/>
          <w:iCs w:val="0"/>
          <w:caps w:val="0"/>
          <w:color w:val="000000"/>
          <w:spacing w:val="0"/>
          <w:sz w:val="36"/>
          <w:szCs w:val="36"/>
          <w:highlight w:val="none"/>
          <w:u w:val="single"/>
          <w:lang w:val="en-US" w:eastAsia="zh-CN"/>
        </w:rPr>
      </w:pPr>
      <w:r>
        <w:rPr>
          <w:rFonts w:hint="eastAsia" w:ascii="Helvetica" w:hAnsi="Helvetica" w:eastAsia="Helvetica" w:cs="Helvetica"/>
          <w:b/>
          <w:bCs/>
          <w:i w:val="0"/>
          <w:iCs w:val="0"/>
          <w:caps w:val="0"/>
          <w:color w:val="000000"/>
          <w:spacing w:val="0"/>
          <w:sz w:val="36"/>
          <w:szCs w:val="36"/>
          <w:highlight w:val="none"/>
          <w:lang w:eastAsia="zh-CN"/>
        </w:rPr>
        <w:t>投</w:t>
      </w:r>
      <w:r>
        <w:rPr>
          <w:rFonts w:hint="eastAsia" w:ascii="Helvetica" w:hAnsi="Helvetica" w:eastAsia="Helvetica" w:cs="Helvetica"/>
          <w:b/>
          <w:bCs/>
          <w:i w:val="0"/>
          <w:iCs w:val="0"/>
          <w:caps w:val="0"/>
          <w:color w:val="000000"/>
          <w:spacing w:val="0"/>
          <w:sz w:val="36"/>
          <w:szCs w:val="36"/>
          <w:highlight w:val="none"/>
          <w:lang w:val="en-US" w:eastAsia="zh-CN"/>
        </w:rPr>
        <w:t xml:space="preserve"> </w:t>
      </w:r>
      <w:r>
        <w:rPr>
          <w:rFonts w:hint="eastAsia" w:ascii="Helvetica" w:hAnsi="Helvetica" w:eastAsia="Helvetica" w:cs="Helvetica"/>
          <w:b/>
          <w:bCs/>
          <w:i w:val="0"/>
          <w:iCs w:val="0"/>
          <w:caps w:val="0"/>
          <w:color w:val="000000"/>
          <w:spacing w:val="0"/>
          <w:sz w:val="36"/>
          <w:szCs w:val="36"/>
          <w:highlight w:val="none"/>
          <w:lang w:eastAsia="zh-CN"/>
        </w:rPr>
        <w:t>标</w:t>
      </w:r>
      <w:r>
        <w:rPr>
          <w:rFonts w:hint="eastAsia" w:ascii="Helvetica" w:hAnsi="Helvetica" w:eastAsia="Helvetica" w:cs="Helvetica"/>
          <w:b/>
          <w:bCs/>
          <w:i w:val="0"/>
          <w:iCs w:val="0"/>
          <w:caps w:val="0"/>
          <w:color w:val="000000"/>
          <w:spacing w:val="0"/>
          <w:sz w:val="36"/>
          <w:szCs w:val="36"/>
          <w:highlight w:val="none"/>
          <w:lang w:val="en-US" w:eastAsia="zh-CN"/>
        </w:rPr>
        <w:t xml:space="preserve"> </w:t>
      </w:r>
      <w:r>
        <w:rPr>
          <w:rFonts w:hint="eastAsia" w:ascii="Helvetica" w:hAnsi="Helvetica" w:eastAsia="Helvetica" w:cs="Helvetica"/>
          <w:b/>
          <w:bCs/>
          <w:i w:val="0"/>
          <w:iCs w:val="0"/>
          <w:caps w:val="0"/>
          <w:color w:val="000000"/>
          <w:spacing w:val="0"/>
          <w:sz w:val="36"/>
          <w:szCs w:val="36"/>
          <w:highlight w:val="none"/>
          <w:lang w:eastAsia="zh-CN"/>
        </w:rPr>
        <w:t>单</w:t>
      </w:r>
      <w:r>
        <w:rPr>
          <w:rFonts w:hint="eastAsia" w:ascii="Helvetica" w:hAnsi="Helvetica" w:eastAsia="Helvetica" w:cs="Helvetica"/>
          <w:b/>
          <w:bCs/>
          <w:i w:val="0"/>
          <w:iCs w:val="0"/>
          <w:caps w:val="0"/>
          <w:color w:val="000000"/>
          <w:spacing w:val="0"/>
          <w:sz w:val="36"/>
          <w:szCs w:val="36"/>
          <w:highlight w:val="none"/>
          <w:lang w:val="en-US" w:eastAsia="zh-CN"/>
        </w:rPr>
        <w:t xml:space="preserve"> </w:t>
      </w:r>
      <w:r>
        <w:rPr>
          <w:rFonts w:hint="eastAsia" w:ascii="Helvetica" w:hAnsi="Helvetica" w:eastAsia="Helvetica" w:cs="Helvetica"/>
          <w:b/>
          <w:bCs/>
          <w:i w:val="0"/>
          <w:iCs w:val="0"/>
          <w:caps w:val="0"/>
          <w:color w:val="000000"/>
          <w:spacing w:val="0"/>
          <w:sz w:val="36"/>
          <w:szCs w:val="36"/>
          <w:highlight w:val="none"/>
          <w:lang w:eastAsia="zh-CN"/>
        </w:rPr>
        <w:t>位</w:t>
      </w:r>
      <w:r>
        <w:rPr>
          <w:rFonts w:hint="eastAsia" w:ascii="宋体" w:hAnsi="宋体"/>
          <w:b w:val="0"/>
          <w:color w:val="000000"/>
          <w:sz w:val="36"/>
          <w:szCs w:val="36"/>
          <w:highlight w:val="none"/>
          <w:lang w:eastAsia="zh-CN"/>
        </w:rPr>
        <w:t>：</w:t>
      </w:r>
      <w:r>
        <w:rPr>
          <w:rFonts w:hint="eastAsia" w:ascii="宋体" w:hAnsi="宋体" w:eastAsia="宋体" w:cs="Times New Roman"/>
          <w:b/>
          <w:color w:val="000000"/>
          <w:sz w:val="36"/>
          <w:szCs w:val="36"/>
          <w:highlight w:val="none"/>
          <w:u w:val="single"/>
          <w:lang w:val="en-US" w:eastAsia="zh-CN"/>
        </w:rPr>
        <w:t xml:space="preserve">                          </w:t>
      </w:r>
    </w:p>
    <w:p w14:paraId="7DB0EBF0">
      <w:pPr>
        <w:ind w:firstLine="723" w:firstLineChars="200"/>
        <w:jc w:val="both"/>
        <w:rPr>
          <w:rFonts w:hint="default" w:ascii="宋体" w:hAnsi="宋体"/>
          <w:b/>
          <w:color w:val="000000"/>
          <w:sz w:val="36"/>
          <w:szCs w:val="36"/>
          <w:highlight w:val="none"/>
          <w:lang w:val="en-US" w:eastAsia="zh-CN"/>
        </w:rPr>
      </w:pPr>
      <w:r>
        <w:rPr>
          <w:rFonts w:hint="eastAsia" w:ascii="宋体" w:hAnsi="宋体"/>
          <w:b/>
          <w:color w:val="000000"/>
          <w:sz w:val="36"/>
          <w:szCs w:val="36"/>
          <w:highlight w:val="none"/>
          <w:lang w:eastAsia="zh-CN"/>
        </w:rPr>
        <w:t>法定代表人（签章）：</w:t>
      </w:r>
      <w:r>
        <w:rPr>
          <w:rFonts w:hint="eastAsia" w:ascii="宋体" w:hAnsi="宋体"/>
          <w:b/>
          <w:color w:val="000000"/>
          <w:sz w:val="36"/>
          <w:szCs w:val="36"/>
          <w:highlight w:val="none"/>
          <w:u w:val="single"/>
          <w:lang w:val="en-US" w:eastAsia="zh-CN"/>
        </w:rPr>
        <w:t xml:space="preserve">                   </w:t>
      </w:r>
    </w:p>
    <w:p w14:paraId="740C3223">
      <w:pPr>
        <w:ind w:firstLine="723" w:firstLineChars="200"/>
        <w:jc w:val="both"/>
        <w:rPr>
          <w:rFonts w:hint="eastAsia" w:ascii="宋体" w:hAnsi="宋体" w:eastAsia="宋体" w:cs="宋体"/>
          <w:b/>
          <w:bCs/>
          <w:color w:val="000000"/>
          <w:sz w:val="36"/>
          <w:szCs w:val="36"/>
          <w:highlight w:val="none"/>
        </w:rPr>
      </w:pPr>
      <w:r>
        <w:rPr>
          <w:rFonts w:hint="eastAsia" w:ascii="宋体" w:hAnsi="宋体"/>
          <w:b/>
          <w:color w:val="000000"/>
          <w:sz w:val="36"/>
          <w:szCs w:val="36"/>
          <w:highlight w:val="none"/>
          <w:lang w:eastAsia="zh-CN"/>
        </w:rPr>
        <w:t>投标日期：</w:t>
      </w:r>
      <w:r>
        <w:rPr>
          <w:rFonts w:hint="eastAsia" w:ascii="宋体" w:hAnsi="宋体"/>
          <w:b/>
          <w:color w:val="000000"/>
          <w:sz w:val="36"/>
          <w:szCs w:val="36"/>
          <w:highlight w:val="none"/>
          <w:u w:val="single"/>
          <w:lang w:val="en-US" w:eastAsia="zh-CN"/>
        </w:rPr>
        <w:t xml:space="preserve">      </w:t>
      </w:r>
      <w:r>
        <w:rPr>
          <w:rFonts w:hint="eastAsia" w:ascii="宋体" w:hAnsi="宋体"/>
          <w:b/>
          <w:color w:val="000000"/>
          <w:sz w:val="36"/>
          <w:szCs w:val="36"/>
          <w:highlight w:val="none"/>
          <w:lang w:val="en-US" w:eastAsia="zh-CN"/>
        </w:rPr>
        <w:t>年</w:t>
      </w:r>
      <w:r>
        <w:rPr>
          <w:rFonts w:hint="eastAsia" w:ascii="宋体" w:hAnsi="宋体"/>
          <w:b/>
          <w:color w:val="000000"/>
          <w:sz w:val="36"/>
          <w:szCs w:val="36"/>
          <w:highlight w:val="none"/>
          <w:u w:val="single"/>
          <w:lang w:val="en-US" w:eastAsia="zh-CN"/>
        </w:rPr>
        <w:t xml:space="preserve">    </w:t>
      </w:r>
      <w:r>
        <w:rPr>
          <w:rFonts w:hint="eastAsia" w:ascii="宋体" w:hAnsi="宋体"/>
          <w:b/>
          <w:color w:val="000000"/>
          <w:sz w:val="36"/>
          <w:szCs w:val="36"/>
          <w:highlight w:val="none"/>
          <w:lang w:val="en-US" w:eastAsia="zh-CN"/>
        </w:rPr>
        <w:t>月</w:t>
      </w:r>
      <w:r>
        <w:rPr>
          <w:rFonts w:hint="eastAsia" w:ascii="宋体" w:hAnsi="宋体"/>
          <w:b/>
          <w:color w:val="000000"/>
          <w:sz w:val="36"/>
          <w:szCs w:val="36"/>
          <w:highlight w:val="none"/>
          <w:u w:val="single"/>
          <w:lang w:val="en-US" w:eastAsia="zh-CN"/>
        </w:rPr>
        <w:t xml:space="preserve">    </w:t>
      </w:r>
      <w:r>
        <w:rPr>
          <w:rFonts w:hint="eastAsia" w:ascii="宋体" w:hAnsi="宋体"/>
          <w:b/>
          <w:color w:val="000000"/>
          <w:sz w:val="36"/>
          <w:szCs w:val="36"/>
          <w:highlight w:val="none"/>
          <w:lang w:val="en-US" w:eastAsia="zh-CN"/>
        </w:rPr>
        <w:t>日</w:t>
      </w:r>
    </w:p>
    <w:p w14:paraId="30D75D3A">
      <w:pPr>
        <w:pStyle w:val="9"/>
        <w:jc w:val="center"/>
        <w:rPr>
          <w:rFonts w:hint="eastAsia" w:ascii="宋体" w:hAnsi="宋体" w:eastAsia="宋体" w:cs="宋体"/>
          <w:b/>
          <w:bCs/>
          <w:color w:val="000000"/>
          <w:sz w:val="36"/>
          <w:szCs w:val="36"/>
          <w:highlight w:val="none"/>
        </w:rPr>
      </w:pPr>
      <w:r>
        <w:rPr>
          <w:rFonts w:hint="eastAsia" w:ascii="宋体" w:hAnsi="宋体" w:eastAsia="宋体" w:cs="宋体"/>
          <w:b/>
          <w:bCs/>
          <w:color w:val="000000"/>
          <w:sz w:val="36"/>
          <w:szCs w:val="36"/>
          <w:highlight w:val="none"/>
        </w:rPr>
        <w:br w:type="page"/>
      </w:r>
      <w:r>
        <w:rPr>
          <w:rFonts w:hint="eastAsia" w:ascii="宋体" w:hAnsi="宋体" w:eastAsia="宋体" w:cs="宋体"/>
          <w:b/>
          <w:bCs/>
          <w:color w:val="000000"/>
          <w:sz w:val="36"/>
          <w:szCs w:val="36"/>
          <w:highlight w:val="none"/>
        </w:rPr>
        <w:t>投</w:t>
      </w:r>
      <w:r>
        <w:rPr>
          <w:rFonts w:hint="eastAsia" w:ascii="宋体" w:hAnsi="宋体" w:eastAsia="宋体" w:cs="宋体"/>
          <w:b/>
          <w:bCs/>
          <w:color w:val="000000"/>
          <w:sz w:val="36"/>
          <w:szCs w:val="36"/>
          <w:highlight w:val="none"/>
          <w:lang w:val="en-US" w:eastAsia="zh-CN"/>
        </w:rPr>
        <w:t xml:space="preserve"> </w:t>
      </w:r>
      <w:r>
        <w:rPr>
          <w:rFonts w:hint="eastAsia" w:ascii="宋体" w:hAnsi="宋体" w:eastAsia="宋体" w:cs="宋体"/>
          <w:b/>
          <w:bCs/>
          <w:color w:val="000000"/>
          <w:sz w:val="36"/>
          <w:szCs w:val="36"/>
          <w:highlight w:val="none"/>
        </w:rPr>
        <w:t>标</w:t>
      </w:r>
      <w:r>
        <w:rPr>
          <w:rFonts w:hint="eastAsia" w:ascii="宋体" w:hAnsi="宋体" w:eastAsia="宋体" w:cs="宋体"/>
          <w:b/>
          <w:bCs/>
          <w:color w:val="000000"/>
          <w:sz w:val="36"/>
          <w:szCs w:val="36"/>
          <w:highlight w:val="none"/>
          <w:lang w:val="en-US" w:eastAsia="zh-CN"/>
        </w:rPr>
        <w:t xml:space="preserve"> </w:t>
      </w:r>
      <w:r>
        <w:rPr>
          <w:rFonts w:hint="eastAsia" w:ascii="宋体" w:hAnsi="宋体" w:eastAsia="宋体" w:cs="宋体"/>
          <w:b/>
          <w:bCs/>
          <w:color w:val="000000"/>
          <w:sz w:val="36"/>
          <w:szCs w:val="36"/>
          <w:highlight w:val="none"/>
        </w:rPr>
        <w:t>函</w:t>
      </w:r>
    </w:p>
    <w:p w14:paraId="7A7FABF4">
      <w:pPr>
        <w:pStyle w:val="9"/>
        <w:spacing w:line="360" w:lineRule="exact"/>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招标人：</w:t>
      </w:r>
      <w:r>
        <w:rPr>
          <w:rFonts w:hint="eastAsia" w:ascii="宋体" w:hAnsi="宋体" w:eastAsia="宋体" w:cs="宋体"/>
          <w:color w:val="000000"/>
          <w:sz w:val="28"/>
          <w:szCs w:val="28"/>
          <w:highlight w:val="none"/>
          <w:u w:val="single"/>
          <w:lang w:val="en-US" w:eastAsia="zh-CN"/>
        </w:rPr>
        <w:t xml:space="preserve"> </w:t>
      </w:r>
      <w:r>
        <w:rPr>
          <w:rFonts w:hint="eastAsia" w:ascii="宋体" w:hAnsi="宋体" w:eastAsia="宋体" w:cs="宋体"/>
          <w:snapToGrid w:val="0"/>
          <w:color w:val="000000"/>
          <w:kern w:val="0"/>
          <w:sz w:val="28"/>
          <w:szCs w:val="28"/>
          <w:highlight w:val="none"/>
          <w:u w:val="single"/>
        </w:rPr>
        <w:t xml:space="preserve">        </w:t>
      </w:r>
      <w:r>
        <w:rPr>
          <w:rFonts w:hint="eastAsia" w:ascii="宋体" w:hAnsi="宋体" w:eastAsia="宋体" w:cs="宋体"/>
          <w:color w:val="000000"/>
          <w:sz w:val="28"/>
          <w:szCs w:val="28"/>
          <w:highlight w:val="none"/>
          <w:u w:val="single"/>
        </w:rPr>
        <w:t xml:space="preserve">                </w:t>
      </w:r>
      <w:r>
        <w:rPr>
          <w:rFonts w:hint="eastAsia" w:ascii="宋体" w:hAnsi="宋体" w:eastAsia="宋体" w:cs="宋体"/>
          <w:color w:val="000000"/>
          <w:sz w:val="28"/>
          <w:szCs w:val="28"/>
          <w:highlight w:val="none"/>
          <w:u w:val="single"/>
          <w:lang w:val="en-US" w:eastAsia="zh-CN"/>
        </w:rPr>
        <w:t xml:space="preserve">  </w:t>
      </w:r>
      <w:r>
        <w:rPr>
          <w:rFonts w:hint="eastAsia" w:ascii="宋体" w:hAnsi="宋体" w:eastAsia="宋体" w:cs="宋体"/>
          <w:color w:val="000000"/>
          <w:sz w:val="28"/>
          <w:szCs w:val="28"/>
          <w:highlight w:val="none"/>
          <w:u w:val="single"/>
        </w:rPr>
        <w:t xml:space="preserve">     </w:t>
      </w:r>
      <w:r>
        <w:rPr>
          <w:rFonts w:hint="eastAsia" w:ascii="宋体" w:hAnsi="宋体" w:eastAsia="宋体" w:cs="宋体"/>
          <w:color w:val="000000"/>
          <w:sz w:val="28"/>
          <w:szCs w:val="28"/>
          <w:highlight w:val="none"/>
        </w:rPr>
        <w:t xml:space="preserve">              </w:t>
      </w:r>
    </w:p>
    <w:p w14:paraId="1E6BA2F4">
      <w:pPr>
        <w:pStyle w:val="9"/>
        <w:spacing w:line="360" w:lineRule="exact"/>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1、根据已收到的</w:t>
      </w:r>
      <w:r>
        <w:rPr>
          <w:rFonts w:hint="eastAsia" w:ascii="宋体" w:hAnsi="宋体" w:eastAsia="宋体" w:cs="宋体"/>
          <w:color w:val="000000"/>
          <w:sz w:val="28"/>
          <w:szCs w:val="28"/>
          <w:highlight w:val="none"/>
          <w:u w:val="single"/>
        </w:rPr>
        <w:t xml:space="preserve">              </w:t>
      </w:r>
      <w:r>
        <w:rPr>
          <w:rFonts w:hint="eastAsia" w:ascii="宋体" w:hAnsi="宋体" w:eastAsia="宋体" w:cs="宋体"/>
          <w:color w:val="000000"/>
          <w:sz w:val="28"/>
          <w:szCs w:val="28"/>
          <w:highlight w:val="none"/>
          <w:u w:val="single"/>
          <w:lang w:val="en-US" w:eastAsia="zh-CN"/>
        </w:rPr>
        <w:t xml:space="preserve"> </w:t>
      </w:r>
      <w:r>
        <w:rPr>
          <w:rFonts w:hint="eastAsia" w:ascii="宋体" w:hAnsi="宋体" w:eastAsia="宋体" w:cs="宋体"/>
          <w:color w:val="000000"/>
          <w:sz w:val="28"/>
          <w:szCs w:val="28"/>
          <w:highlight w:val="none"/>
          <w:u w:val="single"/>
        </w:rPr>
        <w:t xml:space="preserve">  </w:t>
      </w:r>
      <w:r>
        <w:rPr>
          <w:rFonts w:hint="eastAsia" w:ascii="宋体" w:hAnsi="宋体" w:eastAsia="宋体" w:cs="宋体"/>
          <w:color w:val="000000"/>
          <w:sz w:val="28"/>
          <w:szCs w:val="28"/>
          <w:highlight w:val="none"/>
        </w:rPr>
        <w:t>工程的招标文件，遵照《房屋建筑和市政基础设施工程施工招标投标管理办法》的规定，我单位经考察现场和研究上述工程招标文件的投标须知、合同条件、技术规范、图纸和其他有关文件后，我方愿以</w:t>
      </w:r>
      <w:r>
        <w:rPr>
          <w:rFonts w:hint="eastAsia" w:hAnsi="宋体" w:cs="宋体"/>
          <w:color w:val="000000"/>
          <w:sz w:val="28"/>
          <w:szCs w:val="28"/>
          <w:highlight w:val="none"/>
          <w:u w:val="single"/>
          <w:lang w:val="en-US" w:eastAsia="zh-CN"/>
        </w:rPr>
        <w:t xml:space="preserve">           元</w:t>
      </w:r>
      <w:r>
        <w:rPr>
          <w:rFonts w:hint="eastAsia" w:ascii="宋体" w:hAnsi="宋体" w:eastAsia="宋体" w:cs="宋体"/>
          <w:color w:val="auto"/>
          <w:sz w:val="28"/>
          <w:szCs w:val="28"/>
          <w:highlight w:val="none"/>
          <w:u w:val="single"/>
          <w:lang w:val="en-US" w:eastAsia="zh-CN"/>
        </w:rPr>
        <w:t xml:space="preserve"> </w:t>
      </w:r>
      <w:r>
        <w:rPr>
          <w:rFonts w:hint="eastAsia" w:hAnsi="宋体" w:eastAsia="宋体" w:cs="宋体"/>
          <w:color w:val="auto"/>
          <w:sz w:val="28"/>
          <w:szCs w:val="28"/>
          <w:highlight w:val="none"/>
          <w:u w:val="none"/>
          <w:lang w:val="en-US" w:eastAsia="zh-CN"/>
        </w:rPr>
        <w:t>（</w:t>
      </w:r>
      <w:r>
        <w:rPr>
          <w:rFonts w:hint="eastAsia" w:hAnsi="宋体" w:cs="宋体"/>
          <w:color w:val="auto"/>
          <w:sz w:val="28"/>
          <w:szCs w:val="28"/>
          <w:highlight w:val="none"/>
          <w:u w:val="none"/>
          <w:lang w:val="en-US" w:eastAsia="zh-CN"/>
        </w:rPr>
        <w:t>不含税</w:t>
      </w:r>
      <w:r>
        <w:rPr>
          <w:rFonts w:hint="eastAsia" w:hAnsi="宋体" w:eastAsia="宋体" w:cs="宋体"/>
          <w:color w:val="auto"/>
          <w:sz w:val="28"/>
          <w:szCs w:val="28"/>
          <w:highlight w:val="none"/>
          <w:u w:val="none"/>
          <w:lang w:val="en-US" w:eastAsia="zh-CN"/>
        </w:rPr>
        <w:t>）</w:t>
      </w:r>
      <w:r>
        <w:rPr>
          <w:rFonts w:hint="eastAsia" w:ascii="宋体" w:hAnsi="宋体" w:eastAsia="宋体" w:cs="宋体"/>
          <w:color w:val="000000"/>
          <w:sz w:val="28"/>
          <w:szCs w:val="28"/>
          <w:highlight w:val="none"/>
        </w:rPr>
        <w:t>投</w:t>
      </w:r>
      <w:r>
        <w:rPr>
          <w:rFonts w:hint="eastAsia" w:ascii="宋体" w:hAnsi="宋体" w:eastAsia="宋体" w:cs="宋体"/>
          <w:color w:val="000000"/>
          <w:sz w:val="28"/>
          <w:szCs w:val="28"/>
          <w:highlight w:val="none"/>
          <w:lang w:eastAsia="zh-CN"/>
        </w:rPr>
        <w:t>标该项目</w:t>
      </w:r>
      <w:r>
        <w:rPr>
          <w:rFonts w:hint="eastAsia" w:ascii="宋体" w:hAnsi="宋体" w:eastAsia="宋体" w:cs="宋体"/>
          <w:color w:val="000000"/>
          <w:sz w:val="28"/>
          <w:szCs w:val="28"/>
          <w:highlight w:val="none"/>
        </w:rPr>
        <w:t>，按上述合同条件、技术规范、图纸、工程量清单及工程预算的条件承包上述工程的施工、竣工。</w:t>
      </w:r>
    </w:p>
    <w:p w14:paraId="4B00E514">
      <w:pPr>
        <w:pStyle w:val="9"/>
        <w:spacing w:line="360" w:lineRule="exact"/>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2、一旦我方中标，我方保证在建设单位要求的工期内竣工，并达到</w:t>
      </w:r>
      <w:r>
        <w:rPr>
          <w:rFonts w:hint="eastAsia" w:ascii="宋体" w:hAnsi="宋体" w:eastAsia="宋体" w:cs="宋体"/>
          <w:color w:val="000000"/>
          <w:sz w:val="28"/>
          <w:szCs w:val="28"/>
          <w:highlight w:val="none"/>
          <w:lang w:eastAsia="zh-CN"/>
        </w:rPr>
        <w:t>合同约定</w:t>
      </w:r>
      <w:r>
        <w:rPr>
          <w:rFonts w:hint="eastAsia" w:ascii="宋体" w:hAnsi="宋体" w:eastAsia="宋体" w:cs="宋体"/>
          <w:color w:val="000000"/>
          <w:sz w:val="28"/>
          <w:szCs w:val="28"/>
          <w:highlight w:val="none"/>
        </w:rPr>
        <w:t>质量标准。</w:t>
      </w:r>
    </w:p>
    <w:p w14:paraId="1FABA54F">
      <w:pPr>
        <w:pStyle w:val="9"/>
        <w:spacing w:line="360" w:lineRule="exact"/>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3、我方同意所递交的投标文件在“投标须知”前附表规定的投标有效期内有效，在此期间内我方的投标有可能中标，我方将受此约束。</w:t>
      </w:r>
    </w:p>
    <w:p w14:paraId="030318CC">
      <w:pPr>
        <w:pStyle w:val="9"/>
        <w:spacing w:line="360" w:lineRule="exact"/>
        <w:ind w:firstLine="560" w:firstLineChars="200"/>
        <w:rPr>
          <w:rFonts w:hint="eastAsia" w:ascii="宋体" w:hAnsi="宋体" w:eastAsia="宋体" w:cs="宋体"/>
          <w:color w:val="000000"/>
          <w:sz w:val="28"/>
          <w:szCs w:val="28"/>
          <w:highlight w:val="none"/>
          <w:lang w:eastAsia="zh-CN"/>
        </w:rPr>
      </w:pPr>
      <w:r>
        <w:rPr>
          <w:rFonts w:hint="eastAsia" w:ascii="宋体" w:hAnsi="宋体" w:eastAsia="宋体" w:cs="宋体"/>
          <w:color w:val="000000"/>
          <w:sz w:val="28"/>
          <w:szCs w:val="28"/>
          <w:highlight w:val="none"/>
        </w:rPr>
        <w:t>4、除非另外达成协议并生效，你方的中标通知书和本投标文件将构成约束我们双方的合同</w:t>
      </w:r>
      <w:r>
        <w:rPr>
          <w:rFonts w:hint="eastAsia" w:ascii="宋体" w:hAnsi="宋体" w:eastAsia="宋体" w:cs="宋体"/>
          <w:color w:val="000000"/>
          <w:sz w:val="28"/>
          <w:szCs w:val="28"/>
          <w:highlight w:val="none"/>
          <w:lang w:eastAsia="zh-CN"/>
        </w:rPr>
        <w:t>。</w:t>
      </w:r>
    </w:p>
    <w:p w14:paraId="67FCB3AB">
      <w:pPr>
        <w:pStyle w:val="9"/>
        <w:spacing w:line="360" w:lineRule="exact"/>
        <w:ind w:firstLine="560" w:firstLineChars="200"/>
        <w:rPr>
          <w:rFonts w:hint="eastAsia" w:ascii="宋体" w:hAnsi="宋体" w:eastAsia="宋体" w:cs="宋体"/>
          <w:color w:val="000000"/>
          <w:sz w:val="28"/>
          <w:szCs w:val="28"/>
          <w:highlight w:val="none"/>
          <w:lang w:eastAsia="zh-CN"/>
        </w:rPr>
      </w:pPr>
      <w:r>
        <w:rPr>
          <w:rFonts w:hint="eastAsia" w:ascii="宋体" w:hAnsi="宋体" w:eastAsia="宋体" w:cs="宋体"/>
          <w:color w:val="000000"/>
          <w:sz w:val="28"/>
          <w:szCs w:val="28"/>
          <w:highlight w:val="none"/>
        </w:rPr>
        <w:t>5、我方承诺经过初步评审的</w:t>
      </w:r>
      <w:r>
        <w:rPr>
          <w:rFonts w:hint="eastAsia" w:ascii="宋体" w:hAnsi="宋体" w:eastAsia="宋体" w:cs="宋体"/>
          <w:color w:val="000000"/>
          <w:sz w:val="28"/>
          <w:szCs w:val="28"/>
          <w:highlight w:val="none"/>
          <w:lang w:eastAsia="zh-CN"/>
        </w:rPr>
        <w:t>相关</w:t>
      </w:r>
      <w:r>
        <w:rPr>
          <w:rFonts w:hint="eastAsia" w:ascii="宋体" w:hAnsi="宋体" w:eastAsia="宋体" w:cs="宋体"/>
          <w:color w:val="000000"/>
          <w:sz w:val="28"/>
          <w:szCs w:val="28"/>
          <w:highlight w:val="none"/>
        </w:rPr>
        <w:t>文件及按照要求对投标文件所作出的澄清、说明、补正内容，成为我方投标文件的组成部分。如果我方中标，施工合同将以包含上述文件的投标文件及招标文件内容为基准进行签订和执行</w:t>
      </w:r>
      <w:r>
        <w:rPr>
          <w:rFonts w:hint="eastAsia" w:ascii="宋体" w:hAnsi="宋体" w:eastAsia="宋体" w:cs="宋体"/>
          <w:color w:val="000000"/>
          <w:sz w:val="28"/>
          <w:szCs w:val="28"/>
          <w:highlight w:val="none"/>
          <w:lang w:eastAsia="zh-CN"/>
        </w:rPr>
        <w:t>。</w:t>
      </w:r>
    </w:p>
    <w:p w14:paraId="3DDFBEFE">
      <w:pPr>
        <w:pStyle w:val="9"/>
        <w:spacing w:line="360" w:lineRule="exact"/>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lang w:val="en-US" w:eastAsia="zh-CN"/>
        </w:rPr>
        <w:t>6</w:t>
      </w:r>
      <w:r>
        <w:rPr>
          <w:rFonts w:hint="eastAsia" w:ascii="宋体" w:hAnsi="宋体" w:eastAsia="宋体" w:cs="宋体"/>
          <w:color w:val="000000"/>
          <w:sz w:val="28"/>
          <w:szCs w:val="28"/>
          <w:highlight w:val="none"/>
        </w:rPr>
        <w:t>、我方承诺为本工程投入的项目人员符合贵公司相关规定，如有虚假，我方愿接受业主的相关处罚，并记入企业的诚信管理档案。</w:t>
      </w:r>
    </w:p>
    <w:p w14:paraId="4D7D0968">
      <w:pPr>
        <w:pStyle w:val="9"/>
        <w:spacing w:line="360" w:lineRule="auto"/>
        <w:ind w:firstLine="560" w:firstLineChars="200"/>
        <w:rPr>
          <w:rFonts w:hint="eastAsia" w:ascii="宋体" w:hAnsi="宋体" w:eastAsia="宋体" w:cs="宋体"/>
          <w:color w:val="000000"/>
          <w:sz w:val="28"/>
          <w:szCs w:val="28"/>
          <w:highlight w:val="none"/>
        </w:rPr>
      </w:pPr>
    </w:p>
    <w:p w14:paraId="379B7A4A">
      <w:pPr>
        <w:pStyle w:val="9"/>
        <w:spacing w:line="360" w:lineRule="auto"/>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投标人：</w:t>
      </w:r>
      <w:r>
        <w:rPr>
          <w:rFonts w:hint="eastAsia" w:ascii="宋体" w:hAnsi="宋体" w:eastAsia="宋体" w:cs="宋体"/>
          <w:color w:val="000000"/>
          <w:sz w:val="28"/>
          <w:szCs w:val="28"/>
          <w:highlight w:val="none"/>
          <w:u w:val="single"/>
          <w:lang w:val="en-US" w:eastAsia="zh-CN"/>
        </w:rPr>
        <w:t xml:space="preserve">                        </w:t>
      </w:r>
      <w:r>
        <w:rPr>
          <w:rFonts w:hint="eastAsia" w:ascii="宋体" w:hAnsi="宋体" w:eastAsia="宋体" w:cs="宋体"/>
          <w:color w:val="000000"/>
          <w:sz w:val="28"/>
          <w:szCs w:val="28"/>
          <w:highlight w:val="none"/>
          <w:lang w:val="en-US" w:eastAsia="zh-CN"/>
        </w:rPr>
        <w:t xml:space="preserve">  </w:t>
      </w:r>
      <w:r>
        <w:rPr>
          <w:rFonts w:hint="eastAsia" w:ascii="宋体" w:hAnsi="宋体" w:eastAsia="宋体" w:cs="宋体"/>
          <w:color w:val="000000"/>
          <w:sz w:val="28"/>
          <w:szCs w:val="28"/>
          <w:highlight w:val="none"/>
        </w:rPr>
        <w:t>(盖章)</w:t>
      </w:r>
    </w:p>
    <w:p w14:paraId="4E8CCA4C">
      <w:pPr>
        <w:pStyle w:val="9"/>
        <w:spacing w:line="360" w:lineRule="auto"/>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单位地址：</w:t>
      </w:r>
      <w:r>
        <w:rPr>
          <w:rFonts w:hint="eastAsia" w:ascii="宋体" w:hAnsi="宋体" w:eastAsia="宋体" w:cs="宋体"/>
          <w:color w:val="000000"/>
          <w:sz w:val="28"/>
          <w:szCs w:val="28"/>
          <w:highlight w:val="none"/>
          <w:u w:val="single"/>
          <w:lang w:val="en-US" w:eastAsia="zh-CN"/>
        </w:rPr>
        <w:t xml:space="preserve">                      </w:t>
      </w:r>
    </w:p>
    <w:p w14:paraId="69AE3D17">
      <w:pPr>
        <w:pStyle w:val="9"/>
        <w:spacing w:line="360" w:lineRule="auto"/>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法定代表人</w:t>
      </w:r>
      <w:r>
        <w:rPr>
          <w:rFonts w:hint="eastAsia" w:ascii="宋体" w:hAnsi="宋体" w:eastAsia="宋体" w:cs="宋体"/>
          <w:color w:val="000000"/>
          <w:sz w:val="28"/>
          <w:szCs w:val="28"/>
          <w:highlight w:val="none"/>
          <w:lang w:val="en-US" w:eastAsia="zh-CN"/>
        </w:rPr>
        <w:t>/</w:t>
      </w:r>
      <w:r>
        <w:rPr>
          <w:rFonts w:hint="eastAsia" w:ascii="宋体" w:hAnsi="宋体" w:eastAsia="宋体" w:cs="宋体"/>
          <w:color w:val="000000"/>
          <w:sz w:val="28"/>
          <w:szCs w:val="28"/>
          <w:highlight w:val="none"/>
        </w:rPr>
        <w:t>委托代理人：</w:t>
      </w:r>
      <w:r>
        <w:rPr>
          <w:rFonts w:hint="eastAsia" w:ascii="宋体" w:hAnsi="宋体" w:eastAsia="宋体" w:cs="宋体"/>
          <w:color w:val="000000"/>
          <w:sz w:val="28"/>
          <w:szCs w:val="28"/>
          <w:highlight w:val="none"/>
          <w:u w:val="single"/>
          <w:lang w:val="en-US" w:eastAsia="zh-CN"/>
        </w:rPr>
        <w:t xml:space="preserve">                </w:t>
      </w:r>
      <w:r>
        <w:rPr>
          <w:rFonts w:hint="eastAsia" w:ascii="宋体" w:hAnsi="宋体" w:eastAsia="宋体" w:cs="宋体"/>
          <w:color w:val="000000"/>
          <w:sz w:val="28"/>
          <w:szCs w:val="28"/>
          <w:highlight w:val="none"/>
        </w:rPr>
        <w:t>(</w:t>
      </w:r>
      <w:r>
        <w:rPr>
          <w:rFonts w:hint="eastAsia" w:ascii="宋体" w:hAnsi="宋体" w:eastAsia="宋体" w:cs="宋体"/>
          <w:color w:val="000000"/>
          <w:sz w:val="28"/>
          <w:szCs w:val="28"/>
          <w:highlight w:val="none"/>
          <w:lang w:eastAsia="zh-CN"/>
        </w:rPr>
        <w:t>签章</w:t>
      </w:r>
      <w:r>
        <w:rPr>
          <w:rFonts w:hint="eastAsia" w:ascii="宋体" w:hAnsi="宋体" w:eastAsia="宋体" w:cs="宋体"/>
          <w:color w:val="000000"/>
          <w:sz w:val="28"/>
          <w:szCs w:val="28"/>
          <w:highlight w:val="none"/>
        </w:rPr>
        <w:t>)</w:t>
      </w:r>
    </w:p>
    <w:p w14:paraId="0C00F481">
      <w:pPr>
        <w:pStyle w:val="9"/>
        <w:spacing w:line="360" w:lineRule="auto"/>
        <w:ind w:firstLine="560" w:firstLineChars="200"/>
        <w:rPr>
          <w:rFonts w:hint="eastAsia" w:ascii="宋体" w:hAnsi="宋体" w:eastAsia="宋体" w:cs="宋体"/>
          <w:color w:val="000000"/>
          <w:sz w:val="28"/>
          <w:szCs w:val="28"/>
          <w:highlight w:val="none"/>
          <w:u w:val="single"/>
          <w:lang w:val="en-US"/>
        </w:rPr>
      </w:pPr>
      <w:r>
        <w:rPr>
          <w:rFonts w:hint="eastAsia" w:ascii="宋体" w:hAnsi="宋体" w:eastAsia="宋体" w:cs="宋体"/>
          <w:color w:val="000000"/>
          <w:sz w:val="28"/>
          <w:szCs w:val="28"/>
          <w:highlight w:val="none"/>
        </w:rPr>
        <w:t>法定代表人</w:t>
      </w:r>
      <w:r>
        <w:rPr>
          <w:rFonts w:hint="eastAsia" w:ascii="宋体" w:hAnsi="宋体" w:eastAsia="宋体" w:cs="宋体"/>
          <w:color w:val="000000"/>
          <w:sz w:val="28"/>
          <w:szCs w:val="28"/>
          <w:highlight w:val="none"/>
          <w:lang w:val="en-US" w:eastAsia="zh-CN"/>
        </w:rPr>
        <w:t>/</w:t>
      </w:r>
      <w:r>
        <w:rPr>
          <w:rFonts w:hint="eastAsia" w:ascii="宋体" w:hAnsi="宋体" w:eastAsia="宋体" w:cs="宋体"/>
          <w:color w:val="000000"/>
          <w:sz w:val="28"/>
          <w:szCs w:val="28"/>
          <w:highlight w:val="none"/>
        </w:rPr>
        <w:t>委托代理人</w:t>
      </w:r>
      <w:r>
        <w:rPr>
          <w:rFonts w:hint="eastAsia" w:ascii="宋体" w:hAnsi="宋体" w:eastAsia="宋体" w:cs="宋体"/>
          <w:color w:val="000000"/>
          <w:sz w:val="28"/>
          <w:szCs w:val="28"/>
          <w:highlight w:val="none"/>
          <w:lang w:eastAsia="zh-CN"/>
        </w:rPr>
        <w:t>联系号码</w:t>
      </w:r>
      <w:r>
        <w:rPr>
          <w:rFonts w:hint="eastAsia" w:ascii="宋体" w:hAnsi="宋体" w:eastAsia="宋体" w:cs="宋体"/>
          <w:color w:val="000000"/>
          <w:sz w:val="28"/>
          <w:szCs w:val="28"/>
          <w:highlight w:val="none"/>
        </w:rPr>
        <w:t>：</w:t>
      </w:r>
      <w:r>
        <w:rPr>
          <w:rFonts w:hint="eastAsia" w:ascii="宋体" w:hAnsi="宋体" w:eastAsia="宋体" w:cs="宋体"/>
          <w:color w:val="000000"/>
          <w:sz w:val="28"/>
          <w:szCs w:val="28"/>
          <w:highlight w:val="none"/>
          <w:u w:val="single"/>
          <w:lang w:val="en-US" w:eastAsia="zh-CN"/>
        </w:rPr>
        <w:t xml:space="preserve">                   </w:t>
      </w:r>
    </w:p>
    <w:p w14:paraId="1076239A">
      <w:pPr>
        <w:pStyle w:val="9"/>
        <w:spacing w:line="360" w:lineRule="auto"/>
        <w:jc w:val="right"/>
        <w:rPr>
          <w:rFonts w:hint="eastAsia" w:ascii="宋体" w:hAnsi="宋体" w:eastAsia="宋体" w:cs="宋体"/>
          <w:color w:val="000000"/>
          <w:sz w:val="28"/>
          <w:szCs w:val="28"/>
          <w:highlight w:val="none"/>
        </w:rPr>
      </w:pPr>
    </w:p>
    <w:p w14:paraId="23D3591A">
      <w:pPr>
        <w:pStyle w:val="9"/>
        <w:spacing w:line="360" w:lineRule="auto"/>
        <w:jc w:val="right"/>
        <w:rPr>
          <w:rFonts w:hint="eastAsia" w:ascii="宋体" w:hAnsi="宋体" w:eastAsia="宋体" w:cs="宋体"/>
          <w:color w:val="000000"/>
          <w:sz w:val="28"/>
          <w:szCs w:val="28"/>
          <w:highlight w:val="none"/>
        </w:rPr>
      </w:pPr>
    </w:p>
    <w:p w14:paraId="21939056">
      <w:pPr>
        <w:pStyle w:val="9"/>
        <w:spacing w:line="360" w:lineRule="auto"/>
        <w:jc w:val="right"/>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日期：      年      月      日</w:t>
      </w:r>
    </w:p>
    <w:p w14:paraId="4A6896CF">
      <w:pPr>
        <w:pStyle w:val="9"/>
        <w:spacing w:line="360" w:lineRule="auto"/>
        <w:ind w:firstLine="4340" w:firstLineChars="1550"/>
        <w:rPr>
          <w:rFonts w:hint="eastAsia" w:ascii="宋体" w:hAnsi="宋体" w:eastAsia="宋体" w:cs="宋体"/>
          <w:color w:val="000000"/>
          <w:sz w:val="28"/>
          <w:szCs w:val="28"/>
          <w:highlight w:val="none"/>
        </w:rPr>
      </w:pPr>
    </w:p>
    <w:p w14:paraId="04CCB526">
      <w:pPr>
        <w:pStyle w:val="9"/>
        <w:spacing w:line="360" w:lineRule="auto"/>
        <w:ind w:firstLine="3720" w:firstLineChars="1550"/>
        <w:rPr>
          <w:rFonts w:hint="eastAsia" w:ascii="宋体" w:hAnsi="宋体" w:eastAsia="宋体" w:cs="宋体"/>
          <w:color w:val="000000"/>
          <w:sz w:val="24"/>
          <w:highlight w:val="none"/>
        </w:rPr>
      </w:pPr>
    </w:p>
    <w:p w14:paraId="2F832910">
      <w:pPr>
        <w:spacing w:line="540" w:lineRule="exact"/>
        <w:jc w:val="center"/>
        <w:rPr>
          <w:rFonts w:hint="eastAsia" w:ascii="宋体" w:hAnsi="宋体" w:eastAsia="宋体" w:cs="宋体"/>
          <w:b/>
          <w:color w:val="000000"/>
          <w:sz w:val="36"/>
          <w:szCs w:val="36"/>
          <w:highlight w:val="none"/>
        </w:rPr>
      </w:pPr>
      <w:r>
        <w:rPr>
          <w:rFonts w:hint="eastAsia" w:ascii="宋体" w:hAnsi="宋体" w:eastAsia="宋体" w:cs="宋体"/>
          <w:b/>
          <w:color w:val="000000"/>
          <w:sz w:val="36"/>
          <w:szCs w:val="36"/>
          <w:highlight w:val="none"/>
          <w:lang w:eastAsia="zh-CN"/>
        </w:rPr>
        <w:t>质</w:t>
      </w:r>
      <w:r>
        <w:rPr>
          <w:rFonts w:hint="eastAsia" w:ascii="宋体" w:hAnsi="宋体" w:eastAsia="宋体" w:cs="宋体"/>
          <w:b/>
          <w:color w:val="000000"/>
          <w:sz w:val="36"/>
          <w:szCs w:val="36"/>
          <w:highlight w:val="none"/>
          <w:lang w:val="en-US" w:eastAsia="zh-CN"/>
        </w:rPr>
        <w:t xml:space="preserve">  </w:t>
      </w:r>
      <w:r>
        <w:rPr>
          <w:rFonts w:hint="eastAsia" w:ascii="宋体" w:hAnsi="宋体" w:eastAsia="宋体" w:cs="宋体"/>
          <w:b/>
          <w:color w:val="000000"/>
          <w:sz w:val="36"/>
          <w:szCs w:val="36"/>
          <w:highlight w:val="none"/>
          <w:lang w:eastAsia="zh-CN"/>
        </w:rPr>
        <w:t>量</w:t>
      </w:r>
      <w:r>
        <w:rPr>
          <w:rFonts w:hint="eastAsia" w:ascii="宋体" w:hAnsi="宋体" w:eastAsia="宋体" w:cs="宋体"/>
          <w:b/>
          <w:color w:val="000000"/>
          <w:sz w:val="36"/>
          <w:szCs w:val="36"/>
          <w:highlight w:val="none"/>
          <w:lang w:val="en-US" w:eastAsia="zh-CN"/>
        </w:rPr>
        <w:t xml:space="preserve">  </w:t>
      </w:r>
      <w:r>
        <w:rPr>
          <w:rFonts w:hint="eastAsia" w:ascii="宋体" w:hAnsi="宋体" w:eastAsia="宋体" w:cs="宋体"/>
          <w:b/>
          <w:color w:val="000000"/>
          <w:sz w:val="36"/>
          <w:szCs w:val="36"/>
          <w:highlight w:val="none"/>
        </w:rPr>
        <w:t>承  诺  书</w:t>
      </w:r>
    </w:p>
    <w:p w14:paraId="2955A383">
      <w:pPr>
        <w:spacing w:line="540" w:lineRule="exact"/>
        <w:rPr>
          <w:rFonts w:hint="eastAsia" w:ascii="宋体" w:hAnsi="宋体" w:eastAsia="宋体" w:cs="宋体"/>
          <w:color w:val="000000"/>
          <w:szCs w:val="24"/>
          <w:highlight w:val="none"/>
        </w:rPr>
      </w:pPr>
    </w:p>
    <w:p w14:paraId="70122991">
      <w:pPr>
        <w:spacing w:line="540" w:lineRule="exact"/>
        <w:rPr>
          <w:rFonts w:hint="eastAsia" w:ascii="宋体" w:hAnsi="宋体" w:eastAsia="宋体" w:cs="宋体"/>
          <w:color w:val="000000"/>
          <w:highlight w:val="none"/>
        </w:rPr>
      </w:pPr>
    </w:p>
    <w:p w14:paraId="42228E64">
      <w:pPr>
        <w:spacing w:line="540" w:lineRule="exact"/>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致：</w:t>
      </w:r>
      <w:r>
        <w:rPr>
          <w:rFonts w:hint="eastAsia" w:ascii="宋体" w:hAnsi="宋体" w:eastAsia="宋体" w:cs="宋体"/>
          <w:color w:val="000000"/>
          <w:sz w:val="28"/>
          <w:szCs w:val="28"/>
          <w:highlight w:val="none"/>
          <w:u w:val="single"/>
        </w:rPr>
        <w:t xml:space="preserve">  </w:t>
      </w:r>
      <w:r>
        <w:rPr>
          <w:rFonts w:hint="eastAsia" w:ascii="宋体" w:hAnsi="宋体" w:eastAsia="宋体" w:cs="宋体"/>
          <w:color w:val="000000"/>
          <w:sz w:val="28"/>
          <w:szCs w:val="28"/>
          <w:highlight w:val="none"/>
          <w:u w:val="single"/>
          <w:lang w:eastAsia="zh-CN"/>
        </w:rPr>
        <w:t>扬州市上善建设工程有限公司</w:t>
      </w:r>
      <w:r>
        <w:rPr>
          <w:rFonts w:hint="eastAsia" w:ascii="宋体" w:hAnsi="宋体" w:eastAsia="宋体" w:cs="宋体"/>
          <w:color w:val="000000"/>
          <w:sz w:val="28"/>
          <w:szCs w:val="28"/>
          <w:highlight w:val="none"/>
          <w:u w:val="single"/>
        </w:rPr>
        <w:t xml:space="preserve"> </w:t>
      </w:r>
      <w:r>
        <w:rPr>
          <w:rFonts w:hint="eastAsia" w:ascii="宋体" w:hAnsi="宋体" w:eastAsia="宋体" w:cs="宋体"/>
          <w:color w:val="000000"/>
          <w:sz w:val="28"/>
          <w:szCs w:val="28"/>
          <w:highlight w:val="none"/>
        </w:rPr>
        <w:t>（招标人名称）</w:t>
      </w:r>
    </w:p>
    <w:p w14:paraId="1DEEC7A0">
      <w:pPr>
        <w:spacing w:line="540" w:lineRule="exact"/>
        <w:ind w:firstLine="480"/>
        <w:rPr>
          <w:rFonts w:hint="eastAsia" w:ascii="宋体" w:hAnsi="宋体" w:eastAsia="宋体" w:cs="宋体"/>
          <w:color w:val="000000"/>
          <w:sz w:val="28"/>
          <w:highlight w:val="none"/>
        </w:rPr>
      </w:pPr>
      <w:r>
        <w:rPr>
          <w:rFonts w:hint="eastAsia" w:ascii="宋体" w:hAnsi="宋体" w:eastAsia="宋体" w:cs="宋体"/>
          <w:color w:val="000000"/>
          <w:sz w:val="28"/>
          <w:highlight w:val="none"/>
        </w:rPr>
        <w:t>我公司自愿参加贵单位（公司</w:t>
      </w:r>
      <w:r>
        <w:rPr>
          <w:rFonts w:hint="eastAsia" w:ascii="宋体" w:hAnsi="宋体" w:eastAsia="宋体" w:cs="宋体"/>
          <w:color w:val="000000"/>
          <w:sz w:val="28"/>
          <w:szCs w:val="28"/>
          <w:highlight w:val="none"/>
        </w:rPr>
        <w:t>）</w:t>
      </w:r>
      <w:r>
        <w:rPr>
          <w:rFonts w:hint="eastAsia" w:ascii="宋体" w:hAnsi="宋体" w:eastAsia="宋体" w:cs="宋体"/>
          <w:color w:val="000000"/>
          <w:sz w:val="28"/>
          <w:szCs w:val="28"/>
          <w:highlight w:val="none"/>
          <w:u w:val="single"/>
        </w:rPr>
        <w:t xml:space="preserve">          </w:t>
      </w:r>
      <w:r>
        <w:rPr>
          <w:rFonts w:hint="eastAsia" w:ascii="宋体" w:hAnsi="宋体" w:eastAsia="宋体" w:cs="宋体"/>
          <w:color w:val="000000"/>
          <w:sz w:val="28"/>
          <w:szCs w:val="28"/>
          <w:highlight w:val="none"/>
          <w:u w:val="single"/>
          <w:lang w:val="en-US" w:eastAsia="zh-CN"/>
        </w:rPr>
        <w:t xml:space="preserve">  </w:t>
      </w:r>
      <w:r>
        <w:rPr>
          <w:rFonts w:hint="eastAsia" w:ascii="宋体" w:hAnsi="宋体" w:eastAsia="宋体" w:cs="宋体"/>
          <w:color w:val="000000"/>
          <w:sz w:val="28"/>
          <w:szCs w:val="28"/>
          <w:highlight w:val="none"/>
          <w:u w:val="single"/>
        </w:rPr>
        <w:t xml:space="preserve">   </w:t>
      </w:r>
      <w:r>
        <w:rPr>
          <w:rFonts w:hint="eastAsia" w:ascii="宋体" w:hAnsi="宋体" w:eastAsia="宋体" w:cs="宋体"/>
          <w:color w:val="000000"/>
          <w:sz w:val="28"/>
          <w:highlight w:val="none"/>
        </w:rPr>
        <w:t>工程的投标，并作以下承诺：</w:t>
      </w:r>
    </w:p>
    <w:p w14:paraId="0751002D">
      <w:pPr>
        <w:spacing w:line="540" w:lineRule="exact"/>
        <w:ind w:firstLine="480"/>
        <w:rPr>
          <w:rFonts w:hint="eastAsia" w:ascii="宋体" w:hAnsi="宋体" w:eastAsia="宋体" w:cs="宋体"/>
          <w:color w:val="000000"/>
          <w:sz w:val="28"/>
          <w:szCs w:val="28"/>
          <w:highlight w:val="none"/>
        </w:rPr>
      </w:pPr>
      <w:r>
        <w:rPr>
          <w:rFonts w:hint="eastAsia" w:ascii="宋体" w:hAnsi="宋体" w:eastAsia="宋体" w:cs="宋体"/>
          <w:color w:val="000000"/>
          <w:spacing w:val="-3"/>
          <w:kern w:val="0"/>
          <w:sz w:val="28"/>
          <w:szCs w:val="28"/>
          <w:highlight w:val="none"/>
        </w:rPr>
        <w:t>本工程</w:t>
      </w:r>
      <w:r>
        <w:rPr>
          <w:rFonts w:hint="eastAsia" w:ascii="宋体" w:hAnsi="宋体" w:eastAsia="宋体" w:cs="宋体"/>
          <w:color w:val="000000"/>
          <w:spacing w:val="-3"/>
          <w:kern w:val="0"/>
          <w:sz w:val="28"/>
          <w:szCs w:val="28"/>
          <w:highlight w:val="none"/>
          <w:lang w:eastAsia="zh-CN"/>
        </w:rPr>
        <w:t>缺陷责任期</w:t>
      </w:r>
      <w:r>
        <w:rPr>
          <w:rFonts w:hint="eastAsia" w:ascii="宋体" w:hAnsi="宋体" w:eastAsia="宋体" w:cs="宋体"/>
          <w:color w:val="000000"/>
          <w:spacing w:val="-3"/>
          <w:kern w:val="0"/>
          <w:sz w:val="28"/>
          <w:szCs w:val="28"/>
          <w:highlight w:val="none"/>
        </w:rPr>
        <w:t>范围内发生质量问题由我公司免费维修</w:t>
      </w:r>
      <w:r>
        <w:rPr>
          <w:rFonts w:hint="eastAsia" w:ascii="宋体" w:hAnsi="宋体" w:eastAsia="宋体" w:cs="宋体"/>
          <w:color w:val="000000"/>
          <w:spacing w:val="-3"/>
          <w:kern w:val="0"/>
          <w:sz w:val="28"/>
          <w:szCs w:val="28"/>
          <w:highlight w:val="none"/>
          <w:lang w:eastAsia="zh-CN"/>
        </w:rPr>
        <w:t>，缺陷责任期限同发包方与建设单位约定期限同步</w:t>
      </w:r>
      <w:r>
        <w:rPr>
          <w:rFonts w:hint="eastAsia" w:ascii="宋体" w:hAnsi="宋体" w:eastAsia="宋体" w:cs="宋体"/>
          <w:color w:val="000000"/>
          <w:spacing w:val="-3"/>
          <w:kern w:val="0"/>
          <w:sz w:val="28"/>
          <w:szCs w:val="28"/>
          <w:highlight w:val="none"/>
        </w:rPr>
        <w:t>。</w:t>
      </w:r>
    </w:p>
    <w:p w14:paraId="01022251">
      <w:pPr>
        <w:spacing w:line="540" w:lineRule="exact"/>
        <w:ind w:firstLine="480"/>
        <w:rPr>
          <w:rFonts w:hint="eastAsia" w:ascii="宋体" w:hAnsi="宋体" w:eastAsia="宋体" w:cs="宋体"/>
          <w:color w:val="000000"/>
          <w:sz w:val="28"/>
          <w:szCs w:val="28"/>
          <w:highlight w:val="none"/>
        </w:rPr>
      </w:pPr>
    </w:p>
    <w:p w14:paraId="15CC38CC">
      <w:pPr>
        <w:spacing w:line="540" w:lineRule="exact"/>
        <w:ind w:firstLine="480"/>
        <w:rPr>
          <w:rFonts w:hint="eastAsia" w:ascii="宋体" w:hAnsi="宋体" w:eastAsia="宋体" w:cs="宋体"/>
          <w:color w:val="000000"/>
          <w:sz w:val="28"/>
          <w:szCs w:val="28"/>
          <w:highlight w:val="none"/>
        </w:rPr>
      </w:pPr>
    </w:p>
    <w:p w14:paraId="6E4D9C19">
      <w:pPr>
        <w:pStyle w:val="10"/>
        <w:widowControl/>
        <w:spacing w:line="540" w:lineRule="exact"/>
        <w:ind w:left="5040" w:leftChars="2400" w:firstLine="690"/>
        <w:rPr>
          <w:rFonts w:hint="eastAsia" w:ascii="宋体" w:hAnsi="宋体" w:eastAsia="宋体" w:cs="宋体"/>
          <w:color w:val="000000"/>
          <w:sz w:val="28"/>
          <w:highlight w:val="none"/>
        </w:rPr>
      </w:pPr>
      <w:r>
        <w:rPr>
          <w:rFonts w:hint="eastAsia" w:ascii="宋体" w:hAnsi="宋体" w:eastAsia="宋体" w:cs="宋体"/>
          <w:color w:val="000000"/>
          <w:sz w:val="28"/>
          <w:highlight w:val="none"/>
        </w:rPr>
        <w:t xml:space="preserve">                                  </w:t>
      </w:r>
    </w:p>
    <w:p w14:paraId="69AAE075">
      <w:pPr>
        <w:pStyle w:val="10"/>
        <w:widowControl/>
        <w:spacing w:line="540" w:lineRule="exact"/>
        <w:ind w:right="560"/>
        <w:jc w:val="right"/>
        <w:rPr>
          <w:rFonts w:hint="eastAsia" w:ascii="宋体" w:hAnsi="宋体" w:eastAsia="宋体" w:cs="宋体"/>
          <w:color w:val="000000"/>
          <w:sz w:val="28"/>
          <w:highlight w:val="none"/>
        </w:rPr>
      </w:pPr>
      <w:r>
        <w:rPr>
          <w:rFonts w:hint="eastAsia" w:ascii="宋体" w:hAnsi="宋体" w:eastAsia="宋体" w:cs="宋体"/>
          <w:color w:val="000000"/>
          <w:sz w:val="28"/>
          <w:highlight w:val="none"/>
          <w:lang w:eastAsia="zh-CN"/>
        </w:rPr>
        <w:t>投标</w:t>
      </w:r>
      <w:r>
        <w:rPr>
          <w:rFonts w:hint="eastAsia" w:ascii="宋体" w:hAnsi="宋体" w:eastAsia="宋体" w:cs="宋体"/>
          <w:color w:val="000000"/>
          <w:sz w:val="24"/>
          <w:highlight w:val="none"/>
        </w:rPr>
        <w:t>人</w:t>
      </w:r>
      <w:r>
        <w:rPr>
          <w:rFonts w:hint="eastAsia" w:ascii="宋体" w:hAnsi="宋体" w:eastAsia="宋体" w:cs="宋体"/>
          <w:color w:val="000000"/>
          <w:sz w:val="28"/>
          <w:highlight w:val="none"/>
        </w:rPr>
        <w:t>：</w:t>
      </w:r>
      <w:r>
        <w:rPr>
          <w:rFonts w:hint="eastAsia" w:ascii="宋体" w:hAnsi="宋体" w:eastAsia="宋体" w:cs="宋体"/>
          <w:color w:val="000000"/>
          <w:sz w:val="28"/>
          <w:highlight w:val="none"/>
          <w:u w:val="single"/>
          <w:lang w:val="en-US" w:eastAsia="zh-CN"/>
        </w:rPr>
        <w:t xml:space="preserve">                 </w:t>
      </w:r>
      <w:r>
        <w:rPr>
          <w:rFonts w:hint="eastAsia" w:ascii="宋体" w:hAnsi="宋体" w:eastAsia="宋体" w:cs="宋体"/>
          <w:color w:val="000000"/>
          <w:sz w:val="28"/>
          <w:highlight w:val="none"/>
        </w:rPr>
        <w:t>（</w:t>
      </w:r>
      <w:r>
        <w:rPr>
          <w:rFonts w:hint="eastAsia" w:ascii="宋体" w:hAnsi="宋体" w:eastAsia="宋体" w:cs="宋体"/>
          <w:color w:val="000000"/>
          <w:sz w:val="24"/>
          <w:highlight w:val="none"/>
        </w:rPr>
        <w:t>盖章</w:t>
      </w:r>
      <w:r>
        <w:rPr>
          <w:rFonts w:hint="eastAsia" w:ascii="宋体" w:hAnsi="宋体" w:eastAsia="宋体" w:cs="宋体"/>
          <w:color w:val="000000"/>
          <w:sz w:val="28"/>
          <w:highlight w:val="none"/>
        </w:rPr>
        <w:t>）</w:t>
      </w:r>
    </w:p>
    <w:p w14:paraId="6A57C0B5">
      <w:pPr>
        <w:pStyle w:val="10"/>
        <w:widowControl/>
        <w:spacing w:line="540" w:lineRule="exact"/>
        <w:ind w:right="560"/>
        <w:jc w:val="right"/>
        <w:rPr>
          <w:rFonts w:hint="eastAsia" w:ascii="宋体" w:hAnsi="宋体" w:eastAsia="宋体" w:cs="宋体"/>
          <w:color w:val="000000"/>
          <w:sz w:val="28"/>
          <w:highlight w:val="none"/>
        </w:rPr>
      </w:pPr>
      <w:r>
        <w:rPr>
          <w:rFonts w:hint="eastAsia" w:ascii="宋体" w:hAnsi="宋体" w:eastAsia="宋体" w:cs="宋体"/>
          <w:color w:val="000000"/>
          <w:sz w:val="28"/>
          <w:highlight w:val="none"/>
        </w:rPr>
        <w:t>法定代表人</w:t>
      </w:r>
      <w:r>
        <w:rPr>
          <w:rFonts w:hint="eastAsia" w:ascii="宋体" w:hAnsi="宋体" w:eastAsia="宋体" w:cs="宋体"/>
          <w:color w:val="000000"/>
          <w:sz w:val="28"/>
          <w:highlight w:val="none"/>
          <w:lang w:val="en-US" w:eastAsia="zh-CN"/>
        </w:rPr>
        <w:t>/</w:t>
      </w:r>
      <w:r>
        <w:rPr>
          <w:rFonts w:hint="eastAsia" w:ascii="宋体" w:hAnsi="宋体" w:eastAsia="宋体" w:cs="宋体"/>
          <w:color w:val="000000"/>
          <w:sz w:val="28"/>
          <w:highlight w:val="none"/>
        </w:rPr>
        <w:t>委托代理人：</w:t>
      </w:r>
      <w:r>
        <w:rPr>
          <w:rFonts w:hint="eastAsia" w:ascii="宋体" w:hAnsi="宋体" w:eastAsia="宋体" w:cs="宋体"/>
          <w:color w:val="000000"/>
          <w:sz w:val="28"/>
          <w:highlight w:val="none"/>
          <w:u w:val="single"/>
          <w:lang w:val="en-US" w:eastAsia="zh-CN"/>
        </w:rPr>
        <w:t xml:space="preserve">                 </w:t>
      </w:r>
      <w:r>
        <w:rPr>
          <w:rFonts w:hint="eastAsia" w:ascii="宋体" w:hAnsi="宋体" w:eastAsia="宋体" w:cs="宋体"/>
          <w:color w:val="000000"/>
          <w:sz w:val="28"/>
          <w:highlight w:val="none"/>
          <w:u w:val="none"/>
          <w:lang w:val="en-US" w:eastAsia="zh-CN"/>
        </w:rPr>
        <w:t>（签章）</w:t>
      </w:r>
    </w:p>
    <w:p w14:paraId="5F790E95">
      <w:pPr>
        <w:pStyle w:val="10"/>
        <w:widowControl/>
        <w:spacing w:line="540" w:lineRule="exact"/>
        <w:ind w:left="5040" w:leftChars="2400" w:firstLine="690"/>
        <w:rPr>
          <w:rFonts w:hint="eastAsia" w:ascii="宋体" w:hAnsi="宋体" w:eastAsia="宋体" w:cs="宋体"/>
          <w:color w:val="000000"/>
          <w:sz w:val="28"/>
          <w:highlight w:val="none"/>
        </w:rPr>
      </w:pPr>
    </w:p>
    <w:p w14:paraId="634D0FAB">
      <w:pPr>
        <w:rPr>
          <w:rFonts w:hint="eastAsia" w:ascii="宋体" w:hAnsi="宋体" w:eastAsia="宋体" w:cs="宋体"/>
          <w:color w:val="000000"/>
          <w:kern w:val="0"/>
          <w:sz w:val="28"/>
          <w:szCs w:val="28"/>
          <w:highlight w:val="none"/>
        </w:rPr>
      </w:pPr>
      <w:r>
        <w:rPr>
          <w:rFonts w:hint="eastAsia" w:ascii="宋体" w:hAnsi="宋体" w:eastAsia="宋体" w:cs="宋体"/>
          <w:color w:val="000000"/>
          <w:kern w:val="0"/>
          <w:sz w:val="28"/>
          <w:szCs w:val="28"/>
          <w:highlight w:val="none"/>
        </w:rPr>
        <w:t xml:space="preserve">                                  </w:t>
      </w:r>
    </w:p>
    <w:p w14:paraId="5CAFBEB8">
      <w:pPr>
        <w:jc w:val="center"/>
        <w:rPr>
          <w:rFonts w:hint="eastAsia" w:ascii="宋体" w:hAnsi="宋体" w:eastAsia="宋体" w:cs="宋体"/>
          <w:color w:val="000000"/>
          <w:kern w:val="0"/>
          <w:sz w:val="28"/>
          <w:szCs w:val="28"/>
          <w:highlight w:val="none"/>
        </w:rPr>
      </w:pPr>
      <w:r>
        <w:rPr>
          <w:rFonts w:hint="eastAsia" w:ascii="宋体" w:hAnsi="宋体" w:eastAsia="宋体" w:cs="宋体"/>
          <w:color w:val="000000"/>
          <w:kern w:val="0"/>
          <w:sz w:val="28"/>
          <w:szCs w:val="28"/>
          <w:highlight w:val="none"/>
          <w:lang w:val="en-US" w:eastAsia="zh-CN"/>
        </w:rPr>
        <w:t xml:space="preserve">                                </w:t>
      </w:r>
      <w:r>
        <w:rPr>
          <w:rFonts w:hint="eastAsia" w:ascii="宋体" w:hAnsi="宋体" w:eastAsia="宋体" w:cs="宋体"/>
          <w:color w:val="000000"/>
          <w:kern w:val="0"/>
          <w:sz w:val="28"/>
          <w:szCs w:val="28"/>
          <w:highlight w:val="none"/>
        </w:rPr>
        <w:t xml:space="preserve"> 年 </w:t>
      </w:r>
      <w:r>
        <w:rPr>
          <w:rFonts w:hint="eastAsia" w:ascii="宋体" w:hAnsi="宋体" w:eastAsia="宋体" w:cs="宋体"/>
          <w:color w:val="000000"/>
          <w:kern w:val="0"/>
          <w:sz w:val="28"/>
          <w:szCs w:val="28"/>
          <w:highlight w:val="none"/>
          <w:lang w:val="en-US" w:eastAsia="zh-CN"/>
        </w:rPr>
        <w:t xml:space="preserve">   </w:t>
      </w:r>
      <w:r>
        <w:rPr>
          <w:rFonts w:hint="eastAsia" w:ascii="宋体" w:hAnsi="宋体" w:eastAsia="宋体" w:cs="宋体"/>
          <w:color w:val="000000"/>
          <w:kern w:val="0"/>
          <w:sz w:val="28"/>
          <w:szCs w:val="28"/>
          <w:highlight w:val="none"/>
        </w:rPr>
        <w:t xml:space="preserve">  月  </w:t>
      </w:r>
      <w:r>
        <w:rPr>
          <w:rFonts w:hint="eastAsia" w:ascii="宋体" w:hAnsi="宋体" w:eastAsia="宋体" w:cs="宋体"/>
          <w:color w:val="000000"/>
          <w:kern w:val="0"/>
          <w:sz w:val="28"/>
          <w:szCs w:val="28"/>
          <w:highlight w:val="none"/>
          <w:lang w:val="en-US" w:eastAsia="zh-CN"/>
        </w:rPr>
        <w:t xml:space="preserve">   </w:t>
      </w:r>
      <w:r>
        <w:rPr>
          <w:rFonts w:hint="eastAsia" w:ascii="宋体" w:hAnsi="宋体" w:eastAsia="宋体" w:cs="宋体"/>
          <w:color w:val="000000"/>
          <w:kern w:val="0"/>
          <w:sz w:val="28"/>
          <w:szCs w:val="28"/>
          <w:highlight w:val="none"/>
        </w:rPr>
        <w:t xml:space="preserve"> 日</w:t>
      </w:r>
    </w:p>
    <w:p w14:paraId="098FBD6A">
      <w:pPr>
        <w:rPr>
          <w:rFonts w:hint="eastAsia" w:ascii="宋体" w:hAnsi="宋体" w:eastAsia="宋体" w:cs="宋体"/>
          <w:color w:val="000000"/>
          <w:sz w:val="28"/>
          <w:szCs w:val="28"/>
          <w:highlight w:val="none"/>
        </w:rPr>
      </w:pPr>
    </w:p>
    <w:p w14:paraId="0E625E07">
      <w:pPr>
        <w:rPr>
          <w:rFonts w:hint="eastAsia" w:ascii="宋体" w:hAnsi="宋体" w:eastAsia="宋体" w:cs="宋体"/>
          <w:color w:val="000000"/>
          <w:sz w:val="28"/>
          <w:szCs w:val="28"/>
          <w:highlight w:val="none"/>
        </w:rPr>
      </w:pPr>
    </w:p>
    <w:p w14:paraId="2D3C51CB">
      <w:pPr>
        <w:rPr>
          <w:rFonts w:hint="eastAsia" w:ascii="宋体" w:hAnsi="宋体" w:eastAsia="宋体" w:cs="宋体"/>
          <w:color w:val="000000"/>
          <w:sz w:val="28"/>
          <w:szCs w:val="28"/>
          <w:highlight w:val="none"/>
        </w:rPr>
      </w:pPr>
    </w:p>
    <w:p w14:paraId="3DF1E671">
      <w:pPr>
        <w:rPr>
          <w:rFonts w:hint="eastAsia" w:ascii="宋体" w:hAnsi="宋体" w:eastAsia="宋体" w:cs="宋体"/>
          <w:color w:val="000000"/>
          <w:sz w:val="28"/>
          <w:szCs w:val="28"/>
          <w:highlight w:val="none"/>
        </w:rPr>
      </w:pPr>
    </w:p>
    <w:p w14:paraId="0D3DB8D9">
      <w:pPr>
        <w:rPr>
          <w:rFonts w:hint="eastAsia" w:ascii="宋体" w:hAnsi="宋体" w:eastAsia="宋体" w:cs="宋体"/>
          <w:color w:val="000000"/>
          <w:sz w:val="28"/>
          <w:szCs w:val="28"/>
          <w:highlight w:val="none"/>
        </w:rPr>
      </w:pPr>
    </w:p>
    <w:p w14:paraId="4EFA5A04">
      <w:pPr>
        <w:snapToGrid w:val="0"/>
        <w:spacing w:line="460" w:lineRule="exact"/>
        <w:jc w:val="center"/>
        <w:rPr>
          <w:rFonts w:hint="eastAsia" w:ascii="宋体" w:hAnsi="宋体" w:eastAsia="宋体" w:cs="宋体"/>
          <w:color w:val="000000"/>
          <w:sz w:val="36"/>
          <w:szCs w:val="36"/>
          <w:highlight w:val="none"/>
        </w:rPr>
      </w:pPr>
    </w:p>
    <w:p w14:paraId="4BC2E7C2">
      <w:pPr>
        <w:snapToGrid w:val="0"/>
        <w:spacing w:line="460" w:lineRule="exact"/>
        <w:jc w:val="center"/>
        <w:rPr>
          <w:rFonts w:hint="eastAsia" w:ascii="宋体" w:hAnsi="宋体" w:eastAsia="宋体" w:cs="宋体"/>
          <w:color w:val="000000"/>
          <w:sz w:val="36"/>
          <w:szCs w:val="36"/>
          <w:highlight w:val="none"/>
        </w:rPr>
      </w:pPr>
    </w:p>
    <w:p w14:paraId="3366DFAF">
      <w:pPr>
        <w:rPr>
          <w:rFonts w:hint="eastAsia" w:ascii="宋体" w:hAnsi="宋体" w:eastAsia="宋体" w:cs="宋体"/>
          <w:color w:val="000000"/>
          <w:sz w:val="28"/>
          <w:szCs w:val="28"/>
          <w:highlight w:val="none"/>
        </w:rPr>
      </w:pPr>
    </w:p>
    <w:p w14:paraId="2E2EF021">
      <w:pPr>
        <w:spacing w:line="540" w:lineRule="exact"/>
        <w:jc w:val="center"/>
        <w:rPr>
          <w:rFonts w:hint="eastAsia" w:ascii="宋体" w:hAnsi="宋体" w:eastAsia="宋体" w:cs="宋体"/>
          <w:b/>
          <w:color w:val="000000"/>
          <w:sz w:val="36"/>
          <w:szCs w:val="36"/>
          <w:highlight w:val="none"/>
        </w:rPr>
      </w:pPr>
      <w:r>
        <w:rPr>
          <w:rFonts w:hint="eastAsia" w:ascii="宋体" w:hAnsi="宋体" w:eastAsia="宋体" w:cs="宋体"/>
          <w:b/>
          <w:color w:val="000000"/>
          <w:sz w:val="36"/>
          <w:szCs w:val="36"/>
          <w:highlight w:val="none"/>
          <w:lang w:eastAsia="zh-CN"/>
        </w:rPr>
        <w:t>工</w:t>
      </w:r>
      <w:r>
        <w:rPr>
          <w:rFonts w:hint="eastAsia" w:ascii="宋体" w:hAnsi="宋体" w:eastAsia="宋体" w:cs="宋体"/>
          <w:b/>
          <w:color w:val="000000"/>
          <w:sz w:val="36"/>
          <w:szCs w:val="36"/>
          <w:highlight w:val="none"/>
          <w:lang w:val="en-US" w:eastAsia="zh-CN"/>
        </w:rPr>
        <w:t xml:space="preserve">  </w:t>
      </w:r>
      <w:r>
        <w:rPr>
          <w:rFonts w:hint="eastAsia" w:ascii="宋体" w:hAnsi="宋体" w:eastAsia="宋体" w:cs="宋体"/>
          <w:b/>
          <w:color w:val="000000"/>
          <w:sz w:val="36"/>
          <w:szCs w:val="36"/>
          <w:highlight w:val="none"/>
          <w:lang w:eastAsia="zh-CN"/>
        </w:rPr>
        <w:t>期</w:t>
      </w:r>
      <w:r>
        <w:rPr>
          <w:rFonts w:hint="eastAsia" w:ascii="宋体" w:hAnsi="宋体" w:eastAsia="宋体" w:cs="宋体"/>
          <w:b/>
          <w:color w:val="000000"/>
          <w:sz w:val="36"/>
          <w:szCs w:val="36"/>
          <w:highlight w:val="none"/>
          <w:lang w:val="en-US" w:eastAsia="zh-CN"/>
        </w:rPr>
        <w:t xml:space="preserve">  </w:t>
      </w:r>
      <w:r>
        <w:rPr>
          <w:rFonts w:hint="eastAsia" w:ascii="宋体" w:hAnsi="宋体" w:eastAsia="宋体" w:cs="宋体"/>
          <w:b/>
          <w:color w:val="000000"/>
          <w:sz w:val="36"/>
          <w:szCs w:val="36"/>
          <w:highlight w:val="none"/>
        </w:rPr>
        <w:t>承  诺  书</w:t>
      </w:r>
    </w:p>
    <w:p w14:paraId="1EE6F273">
      <w:pPr>
        <w:spacing w:line="540" w:lineRule="exact"/>
        <w:rPr>
          <w:rFonts w:hint="eastAsia" w:ascii="宋体" w:hAnsi="宋体" w:eastAsia="宋体" w:cs="宋体"/>
          <w:color w:val="000000"/>
          <w:szCs w:val="24"/>
          <w:highlight w:val="none"/>
        </w:rPr>
      </w:pPr>
    </w:p>
    <w:p w14:paraId="39FF6FF6">
      <w:pPr>
        <w:spacing w:line="540" w:lineRule="exact"/>
        <w:rPr>
          <w:rFonts w:hint="eastAsia" w:ascii="宋体" w:hAnsi="宋体" w:eastAsia="宋体" w:cs="宋体"/>
          <w:color w:val="000000"/>
          <w:highlight w:val="none"/>
        </w:rPr>
      </w:pPr>
    </w:p>
    <w:p w14:paraId="59FA80C5">
      <w:pPr>
        <w:spacing w:line="540" w:lineRule="exact"/>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致：</w:t>
      </w:r>
      <w:r>
        <w:rPr>
          <w:rFonts w:hint="eastAsia" w:ascii="宋体" w:hAnsi="宋体" w:eastAsia="宋体" w:cs="宋体"/>
          <w:color w:val="000000"/>
          <w:sz w:val="28"/>
          <w:szCs w:val="28"/>
          <w:highlight w:val="none"/>
          <w:u w:val="single"/>
        </w:rPr>
        <w:t xml:space="preserve">  </w:t>
      </w:r>
      <w:r>
        <w:rPr>
          <w:rFonts w:hint="eastAsia" w:ascii="宋体" w:hAnsi="宋体" w:eastAsia="宋体" w:cs="宋体"/>
          <w:color w:val="000000"/>
          <w:sz w:val="28"/>
          <w:szCs w:val="28"/>
          <w:highlight w:val="none"/>
          <w:u w:val="single"/>
          <w:lang w:eastAsia="zh-CN"/>
        </w:rPr>
        <w:t>扬州市上善建设工程有限公司</w:t>
      </w:r>
      <w:r>
        <w:rPr>
          <w:rFonts w:hint="eastAsia" w:ascii="宋体" w:hAnsi="宋体" w:eastAsia="宋体" w:cs="宋体"/>
          <w:color w:val="000000"/>
          <w:sz w:val="28"/>
          <w:szCs w:val="28"/>
          <w:highlight w:val="none"/>
          <w:u w:val="single"/>
        </w:rPr>
        <w:t xml:space="preserve"> </w:t>
      </w:r>
      <w:r>
        <w:rPr>
          <w:rFonts w:hint="eastAsia" w:ascii="宋体" w:hAnsi="宋体" w:eastAsia="宋体" w:cs="宋体"/>
          <w:color w:val="000000"/>
          <w:sz w:val="28"/>
          <w:szCs w:val="28"/>
          <w:highlight w:val="none"/>
        </w:rPr>
        <w:t>（招标人名称）</w:t>
      </w:r>
    </w:p>
    <w:p w14:paraId="186E2A9C">
      <w:pPr>
        <w:spacing w:line="540" w:lineRule="exact"/>
        <w:ind w:firstLine="480"/>
        <w:rPr>
          <w:rFonts w:hint="eastAsia" w:ascii="宋体" w:hAnsi="宋体" w:eastAsia="宋体" w:cs="宋体"/>
          <w:color w:val="000000"/>
          <w:sz w:val="28"/>
          <w:highlight w:val="none"/>
        </w:rPr>
      </w:pPr>
      <w:r>
        <w:rPr>
          <w:rFonts w:hint="eastAsia" w:ascii="宋体" w:hAnsi="宋体" w:eastAsia="宋体" w:cs="宋体"/>
          <w:color w:val="000000"/>
          <w:sz w:val="28"/>
          <w:highlight w:val="none"/>
        </w:rPr>
        <w:t>我公司自愿参加贵单位（公司</w:t>
      </w:r>
      <w:r>
        <w:rPr>
          <w:rFonts w:hint="eastAsia" w:ascii="宋体" w:hAnsi="宋体" w:eastAsia="宋体" w:cs="宋体"/>
          <w:color w:val="000000"/>
          <w:sz w:val="28"/>
          <w:szCs w:val="28"/>
          <w:highlight w:val="none"/>
        </w:rPr>
        <w:t>）</w:t>
      </w:r>
      <w:r>
        <w:rPr>
          <w:rFonts w:hint="eastAsia" w:ascii="宋体" w:hAnsi="宋体" w:eastAsia="宋体" w:cs="宋体"/>
          <w:color w:val="000000"/>
          <w:sz w:val="28"/>
          <w:szCs w:val="28"/>
          <w:highlight w:val="none"/>
          <w:u w:val="single"/>
        </w:rPr>
        <w:t xml:space="preserve">          </w:t>
      </w:r>
      <w:r>
        <w:rPr>
          <w:rFonts w:hint="eastAsia" w:ascii="宋体" w:hAnsi="宋体" w:eastAsia="宋体" w:cs="宋体"/>
          <w:color w:val="000000"/>
          <w:sz w:val="28"/>
          <w:szCs w:val="28"/>
          <w:highlight w:val="none"/>
          <w:u w:val="single"/>
          <w:lang w:val="en-US" w:eastAsia="zh-CN"/>
        </w:rPr>
        <w:t xml:space="preserve">  </w:t>
      </w:r>
      <w:r>
        <w:rPr>
          <w:rFonts w:hint="eastAsia" w:ascii="宋体" w:hAnsi="宋体" w:eastAsia="宋体" w:cs="宋体"/>
          <w:color w:val="000000"/>
          <w:sz w:val="28"/>
          <w:szCs w:val="28"/>
          <w:highlight w:val="none"/>
          <w:u w:val="single"/>
        </w:rPr>
        <w:t xml:space="preserve">   </w:t>
      </w:r>
      <w:r>
        <w:rPr>
          <w:rFonts w:hint="eastAsia" w:ascii="宋体" w:hAnsi="宋体" w:eastAsia="宋体" w:cs="宋体"/>
          <w:color w:val="000000"/>
          <w:sz w:val="28"/>
          <w:highlight w:val="none"/>
        </w:rPr>
        <w:t>工程的投标，并作以下承诺：</w:t>
      </w:r>
    </w:p>
    <w:p w14:paraId="386E21B9">
      <w:pPr>
        <w:spacing w:line="540" w:lineRule="exact"/>
        <w:ind w:firstLine="48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lang w:eastAsia="zh-CN"/>
        </w:rPr>
        <w:t>该项目</w:t>
      </w:r>
      <w:r>
        <w:rPr>
          <w:rFonts w:hint="eastAsia" w:ascii="宋体" w:hAnsi="宋体" w:eastAsia="宋体" w:cs="宋体"/>
          <w:color w:val="000000"/>
          <w:sz w:val="28"/>
          <w:szCs w:val="28"/>
          <w:highlight w:val="none"/>
        </w:rPr>
        <w:t>开工日期以建设单位通知为准。工期进度须服从建设单位总进度计划安排，如需顺延工期，必须经建设单位书面同意</w:t>
      </w:r>
      <w:r>
        <w:rPr>
          <w:rFonts w:hint="eastAsia" w:ascii="宋体" w:hAnsi="宋体" w:eastAsia="宋体" w:cs="宋体"/>
          <w:color w:val="000000"/>
          <w:sz w:val="28"/>
          <w:szCs w:val="28"/>
          <w:highlight w:val="none"/>
          <w:lang w:eastAsia="zh-CN"/>
        </w:rPr>
        <w:t>。</w:t>
      </w:r>
    </w:p>
    <w:p w14:paraId="103F520E">
      <w:pPr>
        <w:spacing w:line="540" w:lineRule="exact"/>
        <w:ind w:firstLine="480"/>
        <w:rPr>
          <w:rFonts w:hint="eastAsia" w:ascii="宋体" w:hAnsi="宋体" w:eastAsia="宋体" w:cs="宋体"/>
          <w:color w:val="000000"/>
          <w:sz w:val="28"/>
          <w:szCs w:val="28"/>
          <w:highlight w:val="none"/>
        </w:rPr>
      </w:pPr>
    </w:p>
    <w:p w14:paraId="0A7BC0F1">
      <w:pPr>
        <w:spacing w:line="540" w:lineRule="exact"/>
        <w:ind w:firstLine="480"/>
        <w:rPr>
          <w:rFonts w:hint="eastAsia" w:ascii="宋体" w:hAnsi="宋体" w:eastAsia="宋体" w:cs="宋体"/>
          <w:color w:val="000000"/>
          <w:sz w:val="28"/>
          <w:szCs w:val="28"/>
          <w:highlight w:val="none"/>
        </w:rPr>
      </w:pPr>
    </w:p>
    <w:p w14:paraId="3FED6573">
      <w:pPr>
        <w:pStyle w:val="10"/>
        <w:widowControl/>
        <w:spacing w:line="540" w:lineRule="exact"/>
        <w:ind w:left="5040" w:leftChars="2400" w:firstLine="690"/>
        <w:rPr>
          <w:rFonts w:hint="eastAsia" w:ascii="宋体" w:hAnsi="宋体" w:eastAsia="宋体" w:cs="宋体"/>
          <w:color w:val="000000"/>
          <w:sz w:val="28"/>
          <w:highlight w:val="none"/>
        </w:rPr>
      </w:pPr>
      <w:r>
        <w:rPr>
          <w:rFonts w:hint="eastAsia" w:ascii="宋体" w:hAnsi="宋体" w:eastAsia="宋体" w:cs="宋体"/>
          <w:color w:val="000000"/>
          <w:sz w:val="28"/>
          <w:highlight w:val="none"/>
        </w:rPr>
        <w:t xml:space="preserve">                                  </w:t>
      </w:r>
    </w:p>
    <w:p w14:paraId="6DF5EAE3">
      <w:pPr>
        <w:pStyle w:val="10"/>
        <w:widowControl/>
        <w:spacing w:line="540" w:lineRule="exact"/>
        <w:ind w:right="560"/>
        <w:jc w:val="right"/>
        <w:rPr>
          <w:rFonts w:hint="eastAsia" w:ascii="宋体" w:hAnsi="宋体" w:eastAsia="宋体" w:cs="宋体"/>
          <w:color w:val="000000"/>
          <w:sz w:val="28"/>
          <w:highlight w:val="none"/>
        </w:rPr>
      </w:pPr>
      <w:r>
        <w:rPr>
          <w:rFonts w:hint="eastAsia" w:ascii="宋体" w:hAnsi="宋体" w:eastAsia="宋体" w:cs="宋体"/>
          <w:color w:val="000000"/>
          <w:sz w:val="28"/>
          <w:highlight w:val="none"/>
          <w:lang w:eastAsia="zh-CN"/>
        </w:rPr>
        <w:t>投标</w:t>
      </w:r>
      <w:r>
        <w:rPr>
          <w:rFonts w:hint="eastAsia" w:ascii="宋体" w:hAnsi="宋体" w:eastAsia="宋体" w:cs="宋体"/>
          <w:color w:val="000000"/>
          <w:sz w:val="24"/>
          <w:highlight w:val="none"/>
        </w:rPr>
        <w:t>人</w:t>
      </w:r>
      <w:r>
        <w:rPr>
          <w:rFonts w:hint="eastAsia" w:ascii="宋体" w:hAnsi="宋体" w:eastAsia="宋体" w:cs="宋体"/>
          <w:color w:val="000000"/>
          <w:sz w:val="28"/>
          <w:highlight w:val="none"/>
        </w:rPr>
        <w:t>：</w:t>
      </w:r>
      <w:r>
        <w:rPr>
          <w:rFonts w:hint="eastAsia" w:ascii="宋体" w:hAnsi="宋体" w:eastAsia="宋体" w:cs="宋体"/>
          <w:color w:val="000000"/>
          <w:sz w:val="28"/>
          <w:highlight w:val="none"/>
          <w:u w:val="single"/>
          <w:lang w:val="en-US" w:eastAsia="zh-CN"/>
        </w:rPr>
        <w:t xml:space="preserve">                 </w:t>
      </w:r>
      <w:r>
        <w:rPr>
          <w:rFonts w:hint="eastAsia" w:ascii="宋体" w:hAnsi="宋体" w:eastAsia="宋体" w:cs="宋体"/>
          <w:color w:val="000000"/>
          <w:sz w:val="28"/>
          <w:highlight w:val="none"/>
        </w:rPr>
        <w:t>（</w:t>
      </w:r>
      <w:r>
        <w:rPr>
          <w:rFonts w:hint="eastAsia" w:ascii="宋体" w:hAnsi="宋体" w:eastAsia="宋体" w:cs="宋体"/>
          <w:color w:val="000000"/>
          <w:sz w:val="24"/>
          <w:highlight w:val="none"/>
        </w:rPr>
        <w:t>盖章</w:t>
      </w:r>
      <w:r>
        <w:rPr>
          <w:rFonts w:hint="eastAsia" w:ascii="宋体" w:hAnsi="宋体" w:eastAsia="宋体" w:cs="宋体"/>
          <w:color w:val="000000"/>
          <w:sz w:val="28"/>
          <w:highlight w:val="none"/>
        </w:rPr>
        <w:t>）</w:t>
      </w:r>
    </w:p>
    <w:p w14:paraId="7E8EB37D">
      <w:pPr>
        <w:pStyle w:val="10"/>
        <w:widowControl/>
        <w:spacing w:line="540" w:lineRule="exact"/>
        <w:ind w:right="560"/>
        <w:jc w:val="right"/>
        <w:rPr>
          <w:rFonts w:hint="eastAsia" w:ascii="宋体" w:hAnsi="宋体" w:eastAsia="宋体" w:cs="宋体"/>
          <w:color w:val="000000"/>
          <w:sz w:val="28"/>
          <w:highlight w:val="none"/>
        </w:rPr>
      </w:pPr>
      <w:r>
        <w:rPr>
          <w:rFonts w:hint="eastAsia" w:ascii="宋体" w:hAnsi="宋体" w:eastAsia="宋体" w:cs="宋体"/>
          <w:color w:val="000000"/>
          <w:sz w:val="28"/>
          <w:highlight w:val="none"/>
        </w:rPr>
        <w:t>法定代表人</w:t>
      </w:r>
      <w:r>
        <w:rPr>
          <w:rFonts w:hint="eastAsia" w:ascii="宋体" w:hAnsi="宋体" w:eastAsia="宋体" w:cs="宋体"/>
          <w:color w:val="000000"/>
          <w:sz w:val="28"/>
          <w:highlight w:val="none"/>
          <w:lang w:val="en-US" w:eastAsia="zh-CN"/>
        </w:rPr>
        <w:t>/</w:t>
      </w:r>
      <w:r>
        <w:rPr>
          <w:rFonts w:hint="eastAsia" w:ascii="宋体" w:hAnsi="宋体" w:eastAsia="宋体" w:cs="宋体"/>
          <w:color w:val="000000"/>
          <w:sz w:val="28"/>
          <w:highlight w:val="none"/>
        </w:rPr>
        <w:t>委托代理人：</w:t>
      </w:r>
      <w:r>
        <w:rPr>
          <w:rFonts w:hint="eastAsia" w:ascii="宋体" w:hAnsi="宋体" w:eastAsia="宋体" w:cs="宋体"/>
          <w:color w:val="000000"/>
          <w:sz w:val="28"/>
          <w:highlight w:val="none"/>
          <w:u w:val="single"/>
          <w:lang w:val="en-US" w:eastAsia="zh-CN"/>
        </w:rPr>
        <w:t xml:space="preserve">                 </w:t>
      </w:r>
      <w:r>
        <w:rPr>
          <w:rFonts w:hint="eastAsia" w:ascii="宋体" w:hAnsi="宋体" w:eastAsia="宋体" w:cs="宋体"/>
          <w:color w:val="000000"/>
          <w:sz w:val="28"/>
          <w:highlight w:val="none"/>
          <w:u w:val="none"/>
          <w:lang w:val="en-US" w:eastAsia="zh-CN"/>
        </w:rPr>
        <w:t>（签章）</w:t>
      </w:r>
    </w:p>
    <w:p w14:paraId="00B09D2E">
      <w:pPr>
        <w:pStyle w:val="10"/>
        <w:widowControl/>
        <w:spacing w:line="540" w:lineRule="exact"/>
        <w:ind w:left="5040" w:leftChars="2400" w:firstLine="690"/>
        <w:rPr>
          <w:rFonts w:hint="eastAsia" w:ascii="宋体" w:hAnsi="宋体" w:eastAsia="宋体" w:cs="宋体"/>
          <w:color w:val="000000"/>
          <w:sz w:val="28"/>
          <w:highlight w:val="none"/>
        </w:rPr>
      </w:pPr>
    </w:p>
    <w:p w14:paraId="229160EE">
      <w:pPr>
        <w:rPr>
          <w:rFonts w:hint="eastAsia" w:ascii="宋体" w:hAnsi="宋体" w:eastAsia="宋体" w:cs="宋体"/>
          <w:color w:val="000000"/>
          <w:kern w:val="0"/>
          <w:sz w:val="28"/>
          <w:szCs w:val="28"/>
          <w:highlight w:val="none"/>
        </w:rPr>
      </w:pPr>
      <w:r>
        <w:rPr>
          <w:rFonts w:hint="eastAsia" w:ascii="宋体" w:hAnsi="宋体" w:eastAsia="宋体" w:cs="宋体"/>
          <w:color w:val="000000"/>
          <w:kern w:val="0"/>
          <w:sz w:val="28"/>
          <w:szCs w:val="28"/>
          <w:highlight w:val="none"/>
        </w:rPr>
        <w:t xml:space="preserve">                                  </w:t>
      </w:r>
    </w:p>
    <w:p w14:paraId="511E9E86">
      <w:pPr>
        <w:jc w:val="center"/>
        <w:rPr>
          <w:rFonts w:hint="eastAsia" w:ascii="宋体" w:hAnsi="宋体" w:eastAsia="宋体" w:cs="宋体"/>
          <w:color w:val="000000"/>
          <w:kern w:val="0"/>
          <w:sz w:val="28"/>
          <w:szCs w:val="28"/>
          <w:highlight w:val="none"/>
        </w:rPr>
      </w:pPr>
      <w:r>
        <w:rPr>
          <w:rFonts w:hint="eastAsia" w:ascii="宋体" w:hAnsi="宋体" w:eastAsia="宋体" w:cs="宋体"/>
          <w:color w:val="000000"/>
          <w:kern w:val="0"/>
          <w:sz w:val="28"/>
          <w:szCs w:val="28"/>
          <w:highlight w:val="none"/>
          <w:lang w:val="en-US" w:eastAsia="zh-CN"/>
        </w:rPr>
        <w:t xml:space="preserve">                                </w:t>
      </w:r>
      <w:r>
        <w:rPr>
          <w:rFonts w:hint="eastAsia" w:ascii="宋体" w:hAnsi="宋体" w:eastAsia="宋体" w:cs="宋体"/>
          <w:color w:val="000000"/>
          <w:kern w:val="0"/>
          <w:sz w:val="28"/>
          <w:szCs w:val="28"/>
          <w:highlight w:val="none"/>
        </w:rPr>
        <w:t xml:space="preserve"> 年 </w:t>
      </w:r>
      <w:r>
        <w:rPr>
          <w:rFonts w:hint="eastAsia" w:ascii="宋体" w:hAnsi="宋体" w:eastAsia="宋体" w:cs="宋体"/>
          <w:color w:val="000000"/>
          <w:kern w:val="0"/>
          <w:sz w:val="28"/>
          <w:szCs w:val="28"/>
          <w:highlight w:val="none"/>
          <w:lang w:val="en-US" w:eastAsia="zh-CN"/>
        </w:rPr>
        <w:t xml:space="preserve">   </w:t>
      </w:r>
      <w:r>
        <w:rPr>
          <w:rFonts w:hint="eastAsia" w:ascii="宋体" w:hAnsi="宋体" w:eastAsia="宋体" w:cs="宋体"/>
          <w:color w:val="000000"/>
          <w:kern w:val="0"/>
          <w:sz w:val="28"/>
          <w:szCs w:val="28"/>
          <w:highlight w:val="none"/>
        </w:rPr>
        <w:t xml:space="preserve">  月  </w:t>
      </w:r>
      <w:r>
        <w:rPr>
          <w:rFonts w:hint="eastAsia" w:ascii="宋体" w:hAnsi="宋体" w:eastAsia="宋体" w:cs="宋体"/>
          <w:color w:val="000000"/>
          <w:kern w:val="0"/>
          <w:sz w:val="28"/>
          <w:szCs w:val="28"/>
          <w:highlight w:val="none"/>
          <w:lang w:val="en-US" w:eastAsia="zh-CN"/>
        </w:rPr>
        <w:t xml:space="preserve">   </w:t>
      </w:r>
      <w:r>
        <w:rPr>
          <w:rFonts w:hint="eastAsia" w:ascii="宋体" w:hAnsi="宋体" w:eastAsia="宋体" w:cs="宋体"/>
          <w:color w:val="000000"/>
          <w:kern w:val="0"/>
          <w:sz w:val="28"/>
          <w:szCs w:val="28"/>
          <w:highlight w:val="none"/>
        </w:rPr>
        <w:t xml:space="preserve"> 日</w:t>
      </w:r>
    </w:p>
    <w:p w14:paraId="65FF13AE">
      <w:pPr>
        <w:spacing w:line="540" w:lineRule="exact"/>
        <w:jc w:val="center"/>
        <w:rPr>
          <w:rFonts w:hint="eastAsia" w:ascii="宋体" w:hAnsi="宋体" w:eastAsia="宋体" w:cs="宋体"/>
          <w:b/>
          <w:color w:val="000000"/>
          <w:sz w:val="36"/>
          <w:szCs w:val="36"/>
          <w:highlight w:val="none"/>
        </w:rPr>
      </w:pPr>
    </w:p>
    <w:p w14:paraId="371C7C70">
      <w:pPr>
        <w:spacing w:line="540" w:lineRule="exact"/>
        <w:jc w:val="center"/>
        <w:rPr>
          <w:rFonts w:hint="eastAsia" w:ascii="宋体" w:hAnsi="宋体" w:eastAsia="宋体" w:cs="宋体"/>
          <w:b/>
          <w:color w:val="000000"/>
          <w:sz w:val="36"/>
          <w:szCs w:val="36"/>
          <w:highlight w:val="none"/>
        </w:rPr>
      </w:pPr>
    </w:p>
    <w:p w14:paraId="1039AF9A">
      <w:pPr>
        <w:spacing w:line="540" w:lineRule="exact"/>
        <w:jc w:val="center"/>
        <w:rPr>
          <w:rFonts w:hint="eastAsia" w:ascii="宋体" w:hAnsi="宋体" w:eastAsia="宋体" w:cs="宋体"/>
          <w:b/>
          <w:color w:val="000000"/>
          <w:sz w:val="36"/>
          <w:szCs w:val="36"/>
          <w:highlight w:val="none"/>
        </w:rPr>
      </w:pPr>
    </w:p>
    <w:p w14:paraId="2224481B">
      <w:pPr>
        <w:spacing w:line="540" w:lineRule="exact"/>
        <w:jc w:val="center"/>
        <w:rPr>
          <w:rFonts w:hint="eastAsia" w:ascii="宋体" w:hAnsi="宋体" w:eastAsia="宋体" w:cs="宋体"/>
          <w:b/>
          <w:color w:val="000000"/>
          <w:sz w:val="36"/>
          <w:szCs w:val="36"/>
          <w:highlight w:val="none"/>
        </w:rPr>
      </w:pPr>
    </w:p>
    <w:p w14:paraId="3D36BCDE">
      <w:pPr>
        <w:spacing w:line="540" w:lineRule="exact"/>
        <w:jc w:val="center"/>
        <w:rPr>
          <w:rFonts w:hint="eastAsia" w:ascii="宋体" w:hAnsi="宋体" w:eastAsia="宋体" w:cs="宋体"/>
          <w:b/>
          <w:color w:val="000000"/>
          <w:sz w:val="36"/>
          <w:szCs w:val="36"/>
          <w:highlight w:val="none"/>
        </w:rPr>
      </w:pPr>
    </w:p>
    <w:p w14:paraId="2780EE9C">
      <w:pPr>
        <w:spacing w:line="540" w:lineRule="exact"/>
        <w:jc w:val="center"/>
        <w:rPr>
          <w:rFonts w:hint="eastAsia" w:ascii="宋体" w:hAnsi="宋体" w:eastAsia="宋体" w:cs="宋体"/>
          <w:b/>
          <w:color w:val="000000"/>
          <w:sz w:val="36"/>
          <w:szCs w:val="36"/>
          <w:highlight w:val="none"/>
        </w:rPr>
      </w:pPr>
    </w:p>
    <w:p w14:paraId="64821912">
      <w:pPr>
        <w:spacing w:line="540" w:lineRule="exact"/>
        <w:jc w:val="center"/>
        <w:rPr>
          <w:rFonts w:hint="eastAsia" w:ascii="宋体" w:hAnsi="宋体" w:eastAsia="宋体" w:cs="宋体"/>
          <w:b/>
          <w:color w:val="000000"/>
          <w:sz w:val="36"/>
          <w:szCs w:val="36"/>
          <w:highlight w:val="none"/>
        </w:rPr>
      </w:pPr>
    </w:p>
    <w:p w14:paraId="22A20667">
      <w:pPr>
        <w:spacing w:line="540" w:lineRule="exact"/>
        <w:jc w:val="center"/>
        <w:rPr>
          <w:rFonts w:hint="eastAsia" w:ascii="宋体" w:hAnsi="宋体" w:eastAsia="宋体" w:cs="宋体"/>
          <w:b/>
          <w:color w:val="000000"/>
          <w:sz w:val="36"/>
          <w:szCs w:val="36"/>
          <w:highlight w:val="none"/>
        </w:rPr>
      </w:pPr>
    </w:p>
    <w:p w14:paraId="750E170E">
      <w:pPr>
        <w:spacing w:line="540" w:lineRule="exact"/>
        <w:jc w:val="center"/>
        <w:rPr>
          <w:rFonts w:hint="eastAsia" w:ascii="宋体" w:hAnsi="宋体" w:eastAsia="宋体" w:cs="宋体"/>
          <w:b/>
          <w:color w:val="000000"/>
          <w:sz w:val="36"/>
          <w:szCs w:val="36"/>
          <w:highlight w:val="none"/>
        </w:rPr>
      </w:pPr>
    </w:p>
    <w:p w14:paraId="299427C8">
      <w:pPr>
        <w:spacing w:line="540" w:lineRule="exact"/>
        <w:jc w:val="center"/>
        <w:rPr>
          <w:rFonts w:hint="eastAsia" w:ascii="宋体" w:hAnsi="宋体" w:eastAsia="宋体" w:cs="宋体"/>
          <w:b/>
          <w:color w:val="000000"/>
          <w:sz w:val="36"/>
          <w:szCs w:val="36"/>
          <w:highlight w:val="none"/>
        </w:rPr>
      </w:pPr>
      <w:r>
        <w:rPr>
          <w:rFonts w:hint="eastAsia" w:ascii="宋体" w:hAnsi="宋体" w:eastAsia="宋体" w:cs="宋体"/>
          <w:b/>
          <w:color w:val="000000"/>
          <w:sz w:val="36"/>
          <w:szCs w:val="36"/>
          <w:highlight w:val="none"/>
        </w:rPr>
        <w:t>授权委托书</w:t>
      </w:r>
    </w:p>
    <w:p w14:paraId="319A4EB9">
      <w:pPr>
        <w:spacing w:line="560" w:lineRule="exact"/>
        <w:rPr>
          <w:rFonts w:hint="eastAsia" w:ascii="宋体" w:hAnsi="宋体" w:eastAsia="宋体" w:cs="宋体"/>
          <w:color w:val="000000"/>
          <w:sz w:val="24"/>
          <w:highlight w:val="none"/>
        </w:rPr>
      </w:pPr>
    </w:p>
    <w:p w14:paraId="7BE2385A">
      <w:pPr>
        <w:topLinePunct/>
        <w:spacing w:line="360" w:lineRule="auto"/>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本人</w:t>
      </w:r>
      <w:r>
        <w:rPr>
          <w:rFonts w:hint="eastAsia" w:ascii="宋体" w:hAnsi="宋体" w:eastAsia="宋体" w:cs="宋体"/>
          <w:color w:val="000000"/>
          <w:sz w:val="28"/>
          <w:szCs w:val="28"/>
          <w:highlight w:val="none"/>
          <w:u w:val="single"/>
        </w:rPr>
        <w:t xml:space="preserve">    </w:t>
      </w:r>
      <w:r>
        <w:rPr>
          <w:rFonts w:hint="eastAsia" w:ascii="宋体" w:hAnsi="宋体" w:eastAsia="宋体" w:cs="宋体"/>
          <w:color w:val="000000"/>
          <w:sz w:val="28"/>
          <w:szCs w:val="28"/>
          <w:highlight w:val="none"/>
          <w:u w:val="single"/>
          <w:lang w:val="en-US" w:eastAsia="zh-CN"/>
        </w:rPr>
        <w:t xml:space="preserve">   </w:t>
      </w:r>
      <w:r>
        <w:rPr>
          <w:rFonts w:hint="eastAsia" w:ascii="宋体" w:hAnsi="宋体" w:eastAsia="宋体" w:cs="宋体"/>
          <w:color w:val="000000"/>
          <w:sz w:val="28"/>
          <w:szCs w:val="28"/>
          <w:highlight w:val="none"/>
          <w:u w:val="single"/>
        </w:rPr>
        <w:t xml:space="preserve">   </w:t>
      </w:r>
      <w:r>
        <w:rPr>
          <w:rFonts w:hint="eastAsia" w:ascii="宋体" w:hAnsi="宋体" w:eastAsia="宋体" w:cs="宋体"/>
          <w:color w:val="000000"/>
          <w:sz w:val="28"/>
          <w:szCs w:val="28"/>
          <w:highlight w:val="none"/>
        </w:rPr>
        <w:t>（姓名）系</w:t>
      </w:r>
      <w:r>
        <w:rPr>
          <w:rFonts w:hint="eastAsia" w:ascii="宋体" w:hAnsi="宋体" w:eastAsia="宋体" w:cs="宋体"/>
          <w:color w:val="000000"/>
          <w:sz w:val="28"/>
          <w:szCs w:val="28"/>
          <w:highlight w:val="none"/>
          <w:u w:val="single"/>
        </w:rPr>
        <w:t xml:space="preserve">    </w:t>
      </w:r>
      <w:r>
        <w:rPr>
          <w:rFonts w:hint="eastAsia" w:ascii="宋体" w:hAnsi="宋体" w:eastAsia="宋体" w:cs="宋体"/>
          <w:color w:val="000000"/>
          <w:sz w:val="28"/>
          <w:szCs w:val="28"/>
          <w:highlight w:val="none"/>
          <w:u w:val="single"/>
          <w:lang w:val="en-US" w:eastAsia="zh-CN"/>
        </w:rPr>
        <w:t xml:space="preserve">    </w:t>
      </w:r>
      <w:r>
        <w:rPr>
          <w:rFonts w:hint="eastAsia" w:ascii="宋体" w:hAnsi="宋体" w:eastAsia="宋体" w:cs="宋体"/>
          <w:color w:val="000000"/>
          <w:sz w:val="28"/>
          <w:szCs w:val="28"/>
          <w:highlight w:val="none"/>
          <w:u w:val="single"/>
        </w:rPr>
        <w:t xml:space="preserve"> </w:t>
      </w:r>
      <w:r>
        <w:rPr>
          <w:rFonts w:hint="eastAsia" w:ascii="宋体" w:hAnsi="宋体" w:eastAsia="宋体" w:cs="宋体"/>
          <w:color w:val="000000"/>
          <w:sz w:val="28"/>
          <w:szCs w:val="28"/>
          <w:highlight w:val="none"/>
          <w:u w:val="single"/>
          <w:lang w:val="en-US" w:eastAsia="zh-CN"/>
        </w:rPr>
        <w:t xml:space="preserve">     </w:t>
      </w:r>
      <w:r>
        <w:rPr>
          <w:rFonts w:hint="eastAsia" w:ascii="宋体" w:hAnsi="宋体" w:eastAsia="宋体" w:cs="宋体"/>
          <w:color w:val="000000"/>
          <w:sz w:val="28"/>
          <w:szCs w:val="28"/>
          <w:highlight w:val="none"/>
          <w:u w:val="single"/>
        </w:rPr>
        <w:t xml:space="preserve">   </w:t>
      </w:r>
      <w:r>
        <w:rPr>
          <w:rFonts w:hint="eastAsia" w:ascii="宋体" w:hAnsi="宋体" w:eastAsia="宋体" w:cs="宋体"/>
          <w:color w:val="000000"/>
          <w:sz w:val="28"/>
          <w:szCs w:val="28"/>
          <w:highlight w:val="none"/>
        </w:rPr>
        <w:t>（投标人名称）的法定代表人，现委托</w:t>
      </w:r>
      <w:r>
        <w:rPr>
          <w:rFonts w:hint="eastAsia" w:ascii="宋体" w:hAnsi="宋体" w:eastAsia="宋体" w:cs="宋体"/>
          <w:color w:val="000000"/>
          <w:sz w:val="28"/>
          <w:szCs w:val="28"/>
          <w:highlight w:val="none"/>
          <w:u w:val="single"/>
        </w:rPr>
        <w:t xml:space="preserve">     </w:t>
      </w:r>
      <w:r>
        <w:rPr>
          <w:rFonts w:hint="eastAsia" w:ascii="宋体" w:hAnsi="宋体" w:eastAsia="宋体" w:cs="宋体"/>
          <w:color w:val="000000"/>
          <w:sz w:val="28"/>
          <w:szCs w:val="28"/>
          <w:highlight w:val="none"/>
          <w:u w:val="single"/>
          <w:lang w:val="en-US" w:eastAsia="zh-CN"/>
        </w:rPr>
        <w:t xml:space="preserve">  </w:t>
      </w:r>
      <w:r>
        <w:rPr>
          <w:rFonts w:hint="eastAsia" w:ascii="宋体" w:hAnsi="宋体" w:eastAsia="宋体" w:cs="宋体"/>
          <w:color w:val="000000"/>
          <w:sz w:val="28"/>
          <w:szCs w:val="28"/>
          <w:highlight w:val="none"/>
          <w:u w:val="single"/>
        </w:rPr>
        <w:t xml:space="preserve">    </w:t>
      </w:r>
      <w:r>
        <w:rPr>
          <w:rFonts w:hint="eastAsia" w:ascii="宋体" w:hAnsi="宋体" w:eastAsia="宋体" w:cs="宋体"/>
          <w:color w:val="000000"/>
          <w:sz w:val="28"/>
          <w:szCs w:val="28"/>
          <w:highlight w:val="none"/>
        </w:rPr>
        <w:t>（姓名）为我方代理人。代理人根据授权，以我方名义签署、澄清、说明、补正、递交、撤回、修改</w:t>
      </w:r>
      <w:r>
        <w:rPr>
          <w:rFonts w:hint="eastAsia" w:ascii="宋体" w:hAnsi="宋体" w:eastAsia="宋体" w:cs="宋体"/>
          <w:color w:val="000000"/>
          <w:sz w:val="28"/>
          <w:szCs w:val="28"/>
          <w:highlight w:val="none"/>
          <w:u w:val="single"/>
        </w:rPr>
        <w:t xml:space="preserve">   </w:t>
      </w:r>
      <w:r>
        <w:rPr>
          <w:rFonts w:hint="eastAsia" w:ascii="宋体" w:hAnsi="宋体" w:eastAsia="宋体" w:cs="宋体"/>
          <w:color w:val="000000"/>
          <w:sz w:val="28"/>
          <w:szCs w:val="28"/>
          <w:highlight w:val="none"/>
          <w:u w:val="single"/>
          <w:lang w:val="en-US" w:eastAsia="zh-CN"/>
        </w:rPr>
        <w:t xml:space="preserve">            </w:t>
      </w:r>
      <w:r>
        <w:rPr>
          <w:rFonts w:hint="eastAsia" w:ascii="宋体" w:hAnsi="宋体" w:eastAsia="宋体" w:cs="宋体"/>
          <w:color w:val="000000"/>
          <w:sz w:val="28"/>
          <w:szCs w:val="28"/>
          <w:highlight w:val="none"/>
          <w:u w:val="single"/>
        </w:rPr>
        <w:t xml:space="preserve">        </w:t>
      </w:r>
      <w:r>
        <w:rPr>
          <w:rFonts w:hint="eastAsia" w:ascii="宋体" w:hAnsi="宋体" w:eastAsia="宋体" w:cs="宋体"/>
          <w:color w:val="000000"/>
          <w:sz w:val="28"/>
          <w:szCs w:val="28"/>
          <w:highlight w:val="none"/>
        </w:rPr>
        <w:t>项目（项目名称）投标文件、签订合同和处理有关事宜，其法律后果由我方承担。</w:t>
      </w:r>
    </w:p>
    <w:p w14:paraId="5F0985AE">
      <w:pPr>
        <w:spacing w:line="360" w:lineRule="auto"/>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 xml:space="preserve">    代理人无转委托权。</w:t>
      </w:r>
    </w:p>
    <w:p w14:paraId="55358B10">
      <w:pPr>
        <w:spacing w:line="360" w:lineRule="auto"/>
        <w:rPr>
          <w:rFonts w:hint="eastAsia" w:ascii="宋体" w:hAnsi="宋体" w:eastAsia="宋体" w:cs="宋体"/>
          <w:color w:val="000000"/>
          <w:sz w:val="28"/>
          <w:szCs w:val="28"/>
          <w:highlight w:val="none"/>
        </w:rPr>
      </w:pPr>
    </w:p>
    <w:p w14:paraId="529BFB1E">
      <w:pPr>
        <w:spacing w:line="440" w:lineRule="exact"/>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投标人：</w:t>
      </w:r>
      <w:r>
        <w:rPr>
          <w:rFonts w:hint="eastAsia" w:ascii="宋体" w:hAnsi="宋体" w:eastAsia="宋体" w:cs="宋体"/>
          <w:color w:val="000000"/>
          <w:sz w:val="28"/>
          <w:szCs w:val="28"/>
          <w:highlight w:val="none"/>
          <w:u w:val="single"/>
        </w:rPr>
        <w:t xml:space="preserve">                               </w:t>
      </w:r>
      <w:r>
        <w:rPr>
          <w:rFonts w:hint="eastAsia" w:ascii="宋体" w:hAnsi="宋体" w:eastAsia="宋体" w:cs="宋体"/>
          <w:color w:val="000000"/>
          <w:sz w:val="28"/>
          <w:szCs w:val="28"/>
          <w:highlight w:val="none"/>
        </w:rPr>
        <w:t>（盖章）</w:t>
      </w:r>
    </w:p>
    <w:p w14:paraId="2F3C1424">
      <w:pPr>
        <w:spacing w:line="440" w:lineRule="exact"/>
        <w:rPr>
          <w:rFonts w:hint="eastAsia" w:ascii="宋体" w:hAnsi="宋体" w:eastAsia="宋体" w:cs="宋体"/>
          <w:color w:val="000000"/>
          <w:sz w:val="28"/>
          <w:szCs w:val="28"/>
          <w:highlight w:val="none"/>
        </w:rPr>
      </w:pPr>
    </w:p>
    <w:p w14:paraId="7F57A34C">
      <w:pPr>
        <w:spacing w:line="440" w:lineRule="exact"/>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法定代表人：</w:t>
      </w:r>
      <w:r>
        <w:rPr>
          <w:rFonts w:hint="eastAsia" w:ascii="宋体" w:hAnsi="宋体" w:eastAsia="宋体" w:cs="宋体"/>
          <w:color w:val="000000"/>
          <w:sz w:val="28"/>
          <w:szCs w:val="28"/>
          <w:highlight w:val="none"/>
          <w:u w:val="single"/>
        </w:rPr>
        <w:t xml:space="preserve">                            </w:t>
      </w:r>
      <w:r>
        <w:rPr>
          <w:rFonts w:hint="eastAsia" w:ascii="宋体" w:hAnsi="宋体" w:eastAsia="宋体" w:cs="宋体"/>
          <w:color w:val="000000"/>
          <w:sz w:val="28"/>
          <w:szCs w:val="28"/>
          <w:highlight w:val="none"/>
        </w:rPr>
        <w:t>（</w:t>
      </w:r>
      <w:r>
        <w:rPr>
          <w:rFonts w:hint="eastAsia" w:ascii="宋体" w:hAnsi="宋体" w:eastAsia="宋体" w:cs="宋体"/>
          <w:color w:val="000000"/>
          <w:sz w:val="28"/>
          <w:szCs w:val="28"/>
          <w:highlight w:val="none"/>
          <w:lang w:eastAsia="zh-CN"/>
        </w:rPr>
        <w:t>签章</w:t>
      </w:r>
      <w:r>
        <w:rPr>
          <w:rFonts w:hint="eastAsia" w:ascii="宋体" w:hAnsi="宋体" w:eastAsia="宋体" w:cs="宋体"/>
          <w:color w:val="000000"/>
          <w:sz w:val="28"/>
          <w:szCs w:val="28"/>
          <w:highlight w:val="none"/>
        </w:rPr>
        <w:t>）</w:t>
      </w:r>
    </w:p>
    <w:p w14:paraId="58E7CF0F">
      <w:pPr>
        <w:spacing w:line="440" w:lineRule="exact"/>
        <w:rPr>
          <w:rFonts w:hint="eastAsia" w:ascii="宋体" w:hAnsi="宋体" w:eastAsia="宋体" w:cs="宋体"/>
          <w:color w:val="000000"/>
          <w:sz w:val="28"/>
          <w:szCs w:val="28"/>
          <w:highlight w:val="none"/>
        </w:rPr>
      </w:pPr>
    </w:p>
    <w:p w14:paraId="0856F541">
      <w:pPr>
        <w:spacing w:line="440" w:lineRule="exact"/>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委托代理人：</w:t>
      </w:r>
      <w:r>
        <w:rPr>
          <w:rFonts w:hint="eastAsia" w:ascii="宋体" w:hAnsi="宋体" w:eastAsia="宋体" w:cs="宋体"/>
          <w:color w:val="000000"/>
          <w:sz w:val="28"/>
          <w:szCs w:val="28"/>
          <w:highlight w:val="none"/>
          <w:u w:val="single"/>
        </w:rPr>
        <w:t xml:space="preserve">                             </w:t>
      </w:r>
      <w:r>
        <w:rPr>
          <w:rFonts w:hint="eastAsia" w:ascii="宋体" w:hAnsi="宋体" w:eastAsia="宋体" w:cs="宋体"/>
          <w:color w:val="000000"/>
          <w:sz w:val="28"/>
          <w:szCs w:val="28"/>
          <w:highlight w:val="none"/>
        </w:rPr>
        <w:t xml:space="preserve">（签字） </w:t>
      </w:r>
    </w:p>
    <w:p w14:paraId="57E6F605">
      <w:pPr>
        <w:spacing w:line="440" w:lineRule="exact"/>
        <w:rPr>
          <w:rFonts w:hint="eastAsia" w:ascii="宋体" w:hAnsi="宋体" w:eastAsia="宋体" w:cs="宋体"/>
          <w:color w:val="000000"/>
          <w:sz w:val="28"/>
          <w:szCs w:val="28"/>
          <w:highlight w:val="none"/>
        </w:rPr>
      </w:pPr>
    </w:p>
    <w:p w14:paraId="2A873824">
      <w:pPr>
        <w:spacing w:line="440" w:lineRule="exact"/>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身份证号码：</w:t>
      </w:r>
      <w:r>
        <w:rPr>
          <w:rFonts w:hint="eastAsia" w:ascii="宋体" w:hAnsi="宋体" w:eastAsia="宋体" w:cs="宋体"/>
          <w:color w:val="000000"/>
          <w:sz w:val="28"/>
          <w:szCs w:val="28"/>
          <w:highlight w:val="none"/>
          <w:u w:val="single"/>
        </w:rPr>
        <w:t xml:space="preserve">                            </w:t>
      </w:r>
      <w:r>
        <w:rPr>
          <w:rFonts w:hint="eastAsia" w:ascii="宋体" w:hAnsi="宋体" w:eastAsia="宋体" w:cs="宋体"/>
          <w:color w:val="000000"/>
          <w:sz w:val="28"/>
          <w:szCs w:val="28"/>
          <w:highlight w:val="none"/>
        </w:rPr>
        <w:t>附身份证</w:t>
      </w:r>
      <w:r>
        <w:rPr>
          <w:rFonts w:hint="eastAsia" w:ascii="宋体" w:hAnsi="宋体" w:eastAsia="宋体" w:cs="宋体"/>
          <w:color w:val="000000"/>
          <w:sz w:val="28"/>
          <w:szCs w:val="28"/>
          <w:highlight w:val="none"/>
          <w:lang w:eastAsia="zh-CN"/>
        </w:rPr>
        <w:t>影印</w:t>
      </w:r>
      <w:r>
        <w:rPr>
          <w:rFonts w:hint="eastAsia" w:ascii="宋体" w:hAnsi="宋体" w:eastAsia="宋体" w:cs="宋体"/>
          <w:color w:val="000000"/>
          <w:sz w:val="28"/>
          <w:szCs w:val="28"/>
          <w:highlight w:val="none"/>
        </w:rPr>
        <w:t>件</w:t>
      </w:r>
    </w:p>
    <w:p w14:paraId="2395417C">
      <w:pPr>
        <w:spacing w:line="440" w:lineRule="exact"/>
        <w:rPr>
          <w:rFonts w:hint="eastAsia" w:ascii="宋体" w:hAnsi="宋体" w:eastAsia="宋体" w:cs="宋体"/>
          <w:color w:val="000000"/>
          <w:sz w:val="28"/>
          <w:szCs w:val="28"/>
          <w:highlight w:val="none"/>
        </w:rPr>
      </w:pPr>
    </w:p>
    <w:p w14:paraId="782D9387">
      <w:pPr>
        <w:spacing w:line="440" w:lineRule="exact"/>
        <w:rPr>
          <w:rFonts w:hint="eastAsia" w:ascii="宋体" w:hAnsi="宋体" w:eastAsia="宋体" w:cs="宋体"/>
          <w:color w:val="000000"/>
          <w:sz w:val="28"/>
          <w:szCs w:val="28"/>
          <w:highlight w:val="none"/>
        </w:rPr>
      </w:pPr>
    </w:p>
    <w:p w14:paraId="0F453B07">
      <w:pPr>
        <w:spacing w:line="560" w:lineRule="exact"/>
        <w:jc w:val="right"/>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u w:val="single"/>
        </w:rPr>
        <w:t xml:space="preserve">       </w:t>
      </w:r>
      <w:r>
        <w:rPr>
          <w:rFonts w:hint="eastAsia" w:ascii="宋体" w:hAnsi="宋体" w:eastAsia="宋体" w:cs="宋体"/>
          <w:color w:val="000000"/>
          <w:sz w:val="28"/>
          <w:szCs w:val="28"/>
          <w:highlight w:val="none"/>
        </w:rPr>
        <w:t>年</w:t>
      </w:r>
      <w:r>
        <w:rPr>
          <w:rFonts w:hint="eastAsia" w:ascii="宋体" w:hAnsi="宋体" w:eastAsia="宋体" w:cs="宋体"/>
          <w:color w:val="000000"/>
          <w:sz w:val="28"/>
          <w:szCs w:val="28"/>
          <w:highlight w:val="none"/>
          <w:u w:val="single"/>
        </w:rPr>
        <w:t xml:space="preserve">       </w:t>
      </w:r>
      <w:r>
        <w:rPr>
          <w:rFonts w:hint="eastAsia" w:ascii="宋体" w:hAnsi="宋体" w:eastAsia="宋体" w:cs="宋体"/>
          <w:color w:val="000000"/>
          <w:sz w:val="28"/>
          <w:szCs w:val="28"/>
          <w:highlight w:val="none"/>
        </w:rPr>
        <w:t>月</w:t>
      </w:r>
      <w:r>
        <w:rPr>
          <w:rFonts w:hint="eastAsia" w:ascii="宋体" w:hAnsi="宋体" w:eastAsia="宋体" w:cs="宋体"/>
          <w:color w:val="000000"/>
          <w:sz w:val="28"/>
          <w:szCs w:val="28"/>
          <w:highlight w:val="none"/>
          <w:u w:val="single"/>
        </w:rPr>
        <w:t xml:space="preserve">       </w:t>
      </w:r>
      <w:r>
        <w:rPr>
          <w:rFonts w:hint="eastAsia" w:ascii="宋体" w:hAnsi="宋体" w:eastAsia="宋体" w:cs="宋体"/>
          <w:color w:val="000000"/>
          <w:sz w:val="28"/>
          <w:szCs w:val="28"/>
          <w:highlight w:val="none"/>
        </w:rPr>
        <w:t>日</w:t>
      </w:r>
    </w:p>
    <w:p w14:paraId="10C8111B">
      <w:pPr>
        <w:spacing w:line="560" w:lineRule="exact"/>
        <w:rPr>
          <w:rFonts w:hint="eastAsia"/>
          <w:color w:val="000000"/>
          <w:sz w:val="24"/>
          <w:highlight w:val="none"/>
        </w:rPr>
      </w:pPr>
    </w:p>
    <w:p w14:paraId="3C2D6DC3">
      <w:pPr>
        <w:spacing w:line="560" w:lineRule="exact"/>
        <w:rPr>
          <w:rFonts w:hint="eastAsia"/>
          <w:color w:val="000000"/>
          <w:sz w:val="24"/>
          <w:highlight w:val="none"/>
        </w:rPr>
      </w:pPr>
    </w:p>
    <w:p w14:paraId="7E75453E">
      <w:pPr>
        <w:snapToGrid w:val="0"/>
        <w:ind w:firstLine="723" w:firstLineChars="200"/>
        <w:jc w:val="center"/>
        <w:rPr>
          <w:rFonts w:hint="eastAsia" w:ascii="方正小标宋_GBK" w:hAnsi="宋体" w:eastAsia="方正小标宋_GBK" w:cs="宋体"/>
          <w:b/>
          <w:bCs/>
          <w:snapToGrid w:val="0"/>
          <w:color w:val="000000"/>
          <w:kern w:val="21"/>
          <w:position w:val="2"/>
          <w:sz w:val="36"/>
          <w:szCs w:val="36"/>
          <w:highlight w:val="none"/>
        </w:rPr>
      </w:pPr>
    </w:p>
    <w:p w14:paraId="6D0CB2FB">
      <w:pPr>
        <w:snapToGrid w:val="0"/>
        <w:ind w:firstLine="723" w:firstLineChars="200"/>
        <w:jc w:val="center"/>
        <w:rPr>
          <w:rFonts w:hint="eastAsia" w:ascii="方正小标宋_GBK" w:hAnsi="宋体" w:eastAsia="方正小标宋_GBK" w:cs="宋体"/>
          <w:b/>
          <w:bCs/>
          <w:snapToGrid w:val="0"/>
          <w:color w:val="000000"/>
          <w:kern w:val="21"/>
          <w:position w:val="2"/>
          <w:sz w:val="36"/>
          <w:szCs w:val="36"/>
          <w:highlight w:val="none"/>
        </w:rPr>
      </w:pPr>
    </w:p>
    <w:p w14:paraId="52E5029B">
      <w:pPr>
        <w:wordWrap w:val="0"/>
        <w:spacing w:line="360" w:lineRule="auto"/>
        <w:jc w:val="both"/>
        <w:rPr>
          <w:rFonts w:hint="eastAsia" w:ascii="方正仿宋_GBK" w:hAnsi="方正仿宋_GBK" w:eastAsia="方正仿宋_GBK" w:cs="方正仿宋_GBK"/>
          <w:bCs/>
          <w:color w:val="000000"/>
          <w:sz w:val="24"/>
          <w:highlight w:val="none"/>
        </w:rPr>
      </w:pPr>
    </w:p>
    <w:p w14:paraId="40D8BE38">
      <w:pPr>
        <w:spacing w:line="600" w:lineRule="exact"/>
        <w:jc w:val="right"/>
        <w:rPr>
          <w:rFonts w:hint="eastAsia" w:ascii="方正仿宋_GBK" w:hAnsi="方正仿宋_GBK" w:eastAsia="方正仿宋_GBK" w:cs="方正仿宋_GBK"/>
          <w:color w:val="000000"/>
          <w:sz w:val="28"/>
          <w:szCs w:val="28"/>
          <w:highlight w:val="none"/>
        </w:rPr>
      </w:pPr>
    </w:p>
    <w:p w14:paraId="75C5D97C">
      <w:pPr>
        <w:spacing w:line="360" w:lineRule="auto"/>
        <w:ind w:firstLine="5498" w:firstLineChars="2291"/>
        <w:rPr>
          <w:rFonts w:hint="eastAsia" w:ascii="方正仿宋_GBK" w:hAnsi="方正仿宋_GBK" w:eastAsia="方正仿宋_GBK" w:cs="方正仿宋_GBK"/>
          <w:bCs/>
          <w:color w:val="000000"/>
          <w:sz w:val="24"/>
          <w:highlight w:val="none"/>
        </w:rPr>
      </w:pPr>
    </w:p>
    <w:p w14:paraId="05DDD834">
      <w:pPr>
        <w:spacing w:line="360" w:lineRule="auto"/>
        <w:ind w:firstLine="5498" w:firstLineChars="2291"/>
        <w:rPr>
          <w:rFonts w:hint="eastAsia" w:ascii="方正小标宋_GBK" w:hAnsi="宋体" w:eastAsia="方正小标宋_GBK"/>
          <w:b/>
          <w:bCs/>
          <w:color w:val="000000"/>
          <w:sz w:val="72"/>
          <w:szCs w:val="72"/>
          <w:highlight w:val="none"/>
        </w:rPr>
      </w:pPr>
      <w:r>
        <w:rPr>
          <w:rFonts w:hint="eastAsia" w:ascii="方正仿宋_GBK" w:hAnsi="方正仿宋_GBK" w:eastAsia="方正仿宋_GBK" w:cs="方正仿宋_GBK"/>
          <w:bCs/>
          <w:color w:val="000000"/>
          <w:sz w:val="24"/>
          <w:highlight w:val="none"/>
        </w:rPr>
        <w:t>合同编号：</w:t>
      </w:r>
      <w:r>
        <w:rPr>
          <w:rFonts w:hint="eastAsia" w:ascii="方正仿宋_GBK" w:hAnsi="方正仿宋_GBK" w:eastAsia="方正仿宋_GBK" w:cs="方正仿宋_GBK"/>
          <w:bCs/>
          <w:color w:val="000000"/>
          <w:sz w:val="24"/>
          <w:highlight w:val="none"/>
          <w:u w:val="single"/>
        </w:rPr>
        <w:t xml:space="preserve">            </w:t>
      </w:r>
    </w:p>
    <w:p w14:paraId="4681032C">
      <w:pPr>
        <w:snapToGrid w:val="0"/>
        <w:ind w:firstLine="723" w:firstLineChars="200"/>
        <w:jc w:val="center"/>
        <w:rPr>
          <w:rFonts w:hint="eastAsia" w:ascii="方正小标宋_GBK" w:hAnsi="宋体" w:eastAsia="方正小标宋_GBK" w:cs="宋体"/>
          <w:b/>
          <w:bCs/>
          <w:snapToGrid w:val="0"/>
          <w:color w:val="000000"/>
          <w:kern w:val="21"/>
          <w:position w:val="2"/>
          <w:sz w:val="36"/>
          <w:szCs w:val="36"/>
          <w:highlight w:val="none"/>
        </w:rPr>
      </w:pPr>
    </w:p>
    <w:p w14:paraId="512FAFDA">
      <w:pPr>
        <w:snapToGrid w:val="0"/>
        <w:ind w:firstLine="723" w:firstLineChars="200"/>
        <w:jc w:val="center"/>
        <w:rPr>
          <w:rFonts w:hint="eastAsia" w:ascii="方正小标宋_GBK" w:hAnsi="宋体" w:eastAsia="方正小标宋_GBK" w:cs="宋体"/>
          <w:b/>
          <w:bCs/>
          <w:snapToGrid w:val="0"/>
          <w:color w:val="000000"/>
          <w:kern w:val="21"/>
          <w:position w:val="2"/>
          <w:sz w:val="36"/>
          <w:szCs w:val="36"/>
          <w:highlight w:val="none"/>
        </w:rPr>
      </w:pPr>
    </w:p>
    <w:p w14:paraId="00FE7702">
      <w:pPr>
        <w:snapToGrid w:val="0"/>
        <w:ind w:firstLine="723" w:firstLineChars="200"/>
        <w:jc w:val="center"/>
        <w:rPr>
          <w:rFonts w:hint="eastAsia" w:ascii="方正小标宋_GBK" w:hAnsi="宋体" w:eastAsia="方正小标宋_GBK" w:cs="宋体"/>
          <w:b/>
          <w:bCs/>
          <w:snapToGrid w:val="0"/>
          <w:color w:val="000000"/>
          <w:kern w:val="21"/>
          <w:position w:val="2"/>
          <w:sz w:val="36"/>
          <w:szCs w:val="36"/>
          <w:highlight w:val="none"/>
        </w:rPr>
      </w:pPr>
    </w:p>
    <w:p w14:paraId="225E96D0">
      <w:pPr>
        <w:snapToGrid w:val="0"/>
        <w:rPr>
          <w:rFonts w:hint="eastAsia" w:ascii="方正小标宋_GBK" w:hAnsi="宋体" w:eastAsia="方正小标宋_GBK" w:cs="宋体"/>
          <w:b/>
          <w:bCs/>
          <w:snapToGrid w:val="0"/>
          <w:color w:val="000000"/>
          <w:kern w:val="21"/>
          <w:position w:val="2"/>
          <w:sz w:val="36"/>
          <w:szCs w:val="36"/>
          <w:highlight w:val="none"/>
        </w:rPr>
      </w:pPr>
    </w:p>
    <w:p w14:paraId="53692D08">
      <w:pPr>
        <w:snapToGrid w:val="0"/>
        <w:ind w:firstLine="723" w:firstLineChars="200"/>
        <w:jc w:val="center"/>
        <w:rPr>
          <w:rFonts w:hint="eastAsia" w:ascii="方正小标宋_GBK" w:hAnsi="宋体" w:eastAsia="方正小标宋_GBK" w:cs="宋体"/>
          <w:b/>
          <w:bCs/>
          <w:snapToGrid w:val="0"/>
          <w:color w:val="000000"/>
          <w:kern w:val="21"/>
          <w:position w:val="2"/>
          <w:sz w:val="36"/>
          <w:szCs w:val="36"/>
          <w:highlight w:val="none"/>
        </w:rPr>
      </w:pPr>
    </w:p>
    <w:p w14:paraId="0863569D">
      <w:pPr>
        <w:snapToGrid w:val="0"/>
        <w:jc w:val="center"/>
        <w:rPr>
          <w:rFonts w:hint="eastAsia" w:ascii="方正小标宋_GBK" w:hAnsi="宋体" w:eastAsia="方正小标宋_GBK" w:cs="宋体"/>
          <w:b/>
          <w:bCs/>
          <w:snapToGrid w:val="0"/>
          <w:color w:val="000000"/>
          <w:kern w:val="21"/>
          <w:position w:val="2"/>
          <w:sz w:val="72"/>
          <w:szCs w:val="72"/>
          <w:highlight w:val="none"/>
        </w:rPr>
      </w:pPr>
      <w:r>
        <w:rPr>
          <w:rFonts w:hint="eastAsia" w:ascii="方正小标宋_GBK" w:hAnsi="宋体" w:eastAsia="方正小标宋_GBK" w:cs="宋体"/>
          <w:b/>
          <w:bCs/>
          <w:snapToGrid w:val="0"/>
          <w:color w:val="000000"/>
          <w:kern w:val="21"/>
          <w:position w:val="2"/>
          <w:sz w:val="72"/>
          <w:szCs w:val="72"/>
          <w:highlight w:val="none"/>
        </w:rPr>
        <w:t>劳务分包合同</w:t>
      </w:r>
    </w:p>
    <w:p w14:paraId="30BBC754">
      <w:pPr>
        <w:snapToGrid w:val="0"/>
        <w:ind w:firstLine="723" w:firstLineChars="200"/>
        <w:jc w:val="center"/>
        <w:rPr>
          <w:rFonts w:hint="eastAsia" w:ascii="方正小标宋_GBK" w:hAnsi="宋体" w:eastAsia="方正小标宋_GBK" w:cs="宋体"/>
          <w:b/>
          <w:bCs/>
          <w:snapToGrid w:val="0"/>
          <w:color w:val="000000"/>
          <w:kern w:val="21"/>
          <w:position w:val="2"/>
          <w:sz w:val="36"/>
          <w:szCs w:val="36"/>
          <w:highlight w:val="none"/>
        </w:rPr>
      </w:pPr>
    </w:p>
    <w:p w14:paraId="274A0D67">
      <w:pPr>
        <w:snapToGrid w:val="0"/>
        <w:ind w:firstLine="723" w:firstLineChars="200"/>
        <w:jc w:val="center"/>
        <w:rPr>
          <w:rFonts w:hint="eastAsia" w:ascii="方正小标宋_GBK" w:hAnsi="宋体" w:eastAsia="方正小标宋_GBK" w:cs="宋体"/>
          <w:b/>
          <w:bCs/>
          <w:snapToGrid w:val="0"/>
          <w:color w:val="000000"/>
          <w:kern w:val="21"/>
          <w:position w:val="2"/>
          <w:sz w:val="36"/>
          <w:szCs w:val="36"/>
          <w:highlight w:val="none"/>
        </w:rPr>
      </w:pPr>
    </w:p>
    <w:p w14:paraId="4BABE065">
      <w:pPr>
        <w:snapToGrid w:val="0"/>
        <w:ind w:firstLine="723" w:firstLineChars="200"/>
        <w:jc w:val="center"/>
        <w:rPr>
          <w:rFonts w:hint="eastAsia" w:ascii="方正小标宋_GBK" w:hAnsi="宋体" w:eastAsia="方正小标宋_GBK" w:cs="宋体"/>
          <w:b/>
          <w:bCs/>
          <w:snapToGrid w:val="0"/>
          <w:color w:val="000000"/>
          <w:kern w:val="21"/>
          <w:position w:val="2"/>
          <w:sz w:val="36"/>
          <w:szCs w:val="36"/>
          <w:highlight w:val="none"/>
        </w:rPr>
      </w:pPr>
    </w:p>
    <w:p w14:paraId="30D6FCEA">
      <w:pPr>
        <w:snapToGrid w:val="0"/>
        <w:ind w:firstLine="723" w:firstLineChars="200"/>
        <w:jc w:val="center"/>
        <w:rPr>
          <w:rFonts w:hint="eastAsia" w:ascii="方正小标宋_GBK" w:hAnsi="宋体" w:eastAsia="方正小标宋_GBK" w:cs="宋体"/>
          <w:b/>
          <w:bCs/>
          <w:snapToGrid w:val="0"/>
          <w:color w:val="000000"/>
          <w:kern w:val="21"/>
          <w:position w:val="2"/>
          <w:sz w:val="36"/>
          <w:szCs w:val="36"/>
          <w:highlight w:val="none"/>
        </w:rPr>
      </w:pPr>
    </w:p>
    <w:p w14:paraId="1E1925FF">
      <w:pPr>
        <w:snapToGrid w:val="0"/>
        <w:ind w:firstLine="723" w:firstLineChars="200"/>
        <w:jc w:val="center"/>
        <w:rPr>
          <w:rFonts w:hint="eastAsia" w:ascii="方正小标宋_GBK" w:hAnsi="宋体" w:eastAsia="方正小标宋_GBK" w:cs="宋体"/>
          <w:b/>
          <w:bCs/>
          <w:snapToGrid w:val="0"/>
          <w:color w:val="000000"/>
          <w:kern w:val="21"/>
          <w:position w:val="2"/>
          <w:sz w:val="36"/>
          <w:szCs w:val="36"/>
          <w:highlight w:val="none"/>
        </w:rPr>
      </w:pPr>
    </w:p>
    <w:p w14:paraId="133B8873">
      <w:pPr>
        <w:snapToGrid w:val="0"/>
        <w:ind w:firstLine="723" w:firstLineChars="200"/>
        <w:jc w:val="center"/>
        <w:rPr>
          <w:rFonts w:hint="eastAsia" w:ascii="方正小标宋_GBK" w:hAnsi="宋体" w:eastAsia="方正小标宋_GBK" w:cs="宋体"/>
          <w:b/>
          <w:bCs/>
          <w:snapToGrid w:val="0"/>
          <w:color w:val="000000"/>
          <w:kern w:val="21"/>
          <w:position w:val="2"/>
          <w:sz w:val="36"/>
          <w:szCs w:val="36"/>
          <w:highlight w:val="none"/>
        </w:rPr>
      </w:pPr>
    </w:p>
    <w:p w14:paraId="6DD1A65A">
      <w:pPr>
        <w:snapToGrid w:val="0"/>
        <w:ind w:firstLine="723" w:firstLineChars="200"/>
        <w:jc w:val="center"/>
        <w:rPr>
          <w:rFonts w:hint="eastAsia" w:ascii="方正小标宋_GBK" w:hAnsi="宋体" w:eastAsia="方正小标宋_GBK" w:cs="宋体"/>
          <w:b/>
          <w:bCs/>
          <w:snapToGrid w:val="0"/>
          <w:color w:val="000000"/>
          <w:kern w:val="21"/>
          <w:position w:val="2"/>
          <w:sz w:val="36"/>
          <w:szCs w:val="36"/>
          <w:highlight w:val="none"/>
        </w:rPr>
      </w:pPr>
    </w:p>
    <w:p w14:paraId="5024C898">
      <w:pPr>
        <w:snapToGrid w:val="0"/>
        <w:ind w:firstLine="723" w:firstLineChars="200"/>
        <w:jc w:val="center"/>
        <w:rPr>
          <w:rFonts w:hint="eastAsia" w:ascii="方正小标宋_GBK" w:hAnsi="宋体" w:eastAsia="方正小标宋_GBK" w:cs="宋体"/>
          <w:b/>
          <w:bCs/>
          <w:snapToGrid w:val="0"/>
          <w:color w:val="000000"/>
          <w:kern w:val="21"/>
          <w:position w:val="2"/>
          <w:sz w:val="36"/>
          <w:szCs w:val="36"/>
          <w:highlight w:val="none"/>
        </w:rPr>
      </w:pPr>
    </w:p>
    <w:p w14:paraId="25D4383C">
      <w:pPr>
        <w:snapToGrid w:val="0"/>
        <w:ind w:firstLine="723" w:firstLineChars="200"/>
        <w:jc w:val="center"/>
        <w:rPr>
          <w:rFonts w:hint="eastAsia" w:ascii="方正小标宋_GBK" w:hAnsi="宋体" w:eastAsia="方正小标宋_GBK" w:cs="宋体"/>
          <w:b/>
          <w:bCs/>
          <w:snapToGrid w:val="0"/>
          <w:color w:val="000000"/>
          <w:kern w:val="21"/>
          <w:position w:val="2"/>
          <w:sz w:val="36"/>
          <w:szCs w:val="36"/>
          <w:highlight w:val="none"/>
        </w:rPr>
      </w:pPr>
    </w:p>
    <w:p w14:paraId="07EAA671">
      <w:pPr>
        <w:snapToGrid w:val="0"/>
        <w:ind w:firstLine="723" w:firstLineChars="200"/>
        <w:jc w:val="center"/>
        <w:rPr>
          <w:rFonts w:hint="eastAsia" w:ascii="方正小标宋_GBK" w:hAnsi="宋体" w:eastAsia="方正小标宋_GBK" w:cs="宋体"/>
          <w:b/>
          <w:bCs/>
          <w:snapToGrid w:val="0"/>
          <w:color w:val="000000"/>
          <w:kern w:val="21"/>
          <w:position w:val="2"/>
          <w:sz w:val="36"/>
          <w:szCs w:val="36"/>
          <w:highlight w:val="none"/>
        </w:rPr>
      </w:pPr>
    </w:p>
    <w:p w14:paraId="7F6761C3">
      <w:pPr>
        <w:snapToGrid w:val="0"/>
        <w:ind w:firstLine="723" w:firstLineChars="200"/>
        <w:jc w:val="center"/>
        <w:rPr>
          <w:rFonts w:hint="eastAsia" w:ascii="方正小标宋_GBK" w:hAnsi="宋体" w:eastAsia="方正小标宋_GBK" w:cs="宋体"/>
          <w:b/>
          <w:bCs/>
          <w:snapToGrid w:val="0"/>
          <w:color w:val="000000"/>
          <w:kern w:val="21"/>
          <w:position w:val="2"/>
          <w:sz w:val="36"/>
          <w:szCs w:val="36"/>
          <w:highlight w:val="none"/>
        </w:rPr>
      </w:pPr>
    </w:p>
    <w:p w14:paraId="3CF039D7">
      <w:pPr>
        <w:snapToGrid w:val="0"/>
        <w:ind w:firstLine="723" w:firstLineChars="200"/>
        <w:jc w:val="center"/>
        <w:rPr>
          <w:rFonts w:hint="eastAsia" w:ascii="方正小标宋_GBK" w:hAnsi="宋体" w:eastAsia="方正小标宋_GBK" w:cs="宋体"/>
          <w:b/>
          <w:bCs/>
          <w:snapToGrid w:val="0"/>
          <w:color w:val="000000"/>
          <w:kern w:val="21"/>
          <w:position w:val="2"/>
          <w:sz w:val="36"/>
          <w:szCs w:val="36"/>
          <w:highlight w:val="none"/>
        </w:rPr>
      </w:pPr>
    </w:p>
    <w:p w14:paraId="55F5C8E1">
      <w:pPr>
        <w:snapToGrid w:val="0"/>
        <w:ind w:firstLine="723" w:firstLineChars="200"/>
        <w:jc w:val="center"/>
        <w:rPr>
          <w:rFonts w:hint="eastAsia" w:ascii="方正小标宋_GBK" w:hAnsi="宋体" w:eastAsia="方正小标宋_GBK" w:cs="宋体"/>
          <w:b/>
          <w:bCs/>
          <w:snapToGrid w:val="0"/>
          <w:color w:val="000000"/>
          <w:kern w:val="21"/>
          <w:position w:val="2"/>
          <w:sz w:val="36"/>
          <w:szCs w:val="36"/>
          <w:highlight w:val="none"/>
        </w:rPr>
      </w:pPr>
    </w:p>
    <w:p w14:paraId="5F9D7CE6">
      <w:pPr>
        <w:snapToGrid w:val="0"/>
        <w:ind w:firstLine="723" w:firstLineChars="200"/>
        <w:jc w:val="center"/>
        <w:rPr>
          <w:rFonts w:hint="eastAsia" w:ascii="方正小标宋_GBK" w:hAnsi="宋体" w:eastAsia="方正小标宋_GBK" w:cs="宋体"/>
          <w:b/>
          <w:bCs/>
          <w:snapToGrid w:val="0"/>
          <w:color w:val="000000"/>
          <w:kern w:val="21"/>
          <w:position w:val="2"/>
          <w:sz w:val="36"/>
          <w:szCs w:val="36"/>
          <w:highlight w:val="none"/>
        </w:rPr>
      </w:pPr>
    </w:p>
    <w:p w14:paraId="1C7BB547">
      <w:pPr>
        <w:snapToGrid w:val="0"/>
        <w:ind w:firstLine="723" w:firstLineChars="200"/>
        <w:jc w:val="center"/>
        <w:rPr>
          <w:rFonts w:hint="eastAsia" w:ascii="方正小标宋_GBK" w:hAnsi="宋体" w:eastAsia="方正小标宋_GBK" w:cs="宋体"/>
          <w:b/>
          <w:bCs/>
          <w:snapToGrid w:val="0"/>
          <w:color w:val="000000"/>
          <w:kern w:val="21"/>
          <w:position w:val="2"/>
          <w:sz w:val="36"/>
          <w:szCs w:val="36"/>
          <w:highlight w:val="none"/>
        </w:rPr>
      </w:pPr>
    </w:p>
    <w:p w14:paraId="1CAC794B">
      <w:pPr>
        <w:snapToGrid w:val="0"/>
        <w:ind w:firstLine="723" w:firstLineChars="200"/>
        <w:jc w:val="center"/>
        <w:rPr>
          <w:rFonts w:hint="eastAsia" w:ascii="方正小标宋_GBK" w:hAnsi="宋体" w:eastAsia="方正小标宋_GBK" w:cs="宋体"/>
          <w:b/>
          <w:bCs/>
          <w:snapToGrid w:val="0"/>
          <w:color w:val="000000"/>
          <w:kern w:val="21"/>
          <w:position w:val="2"/>
          <w:sz w:val="36"/>
          <w:szCs w:val="36"/>
          <w:highlight w:val="none"/>
        </w:rPr>
      </w:pPr>
    </w:p>
    <w:p w14:paraId="38B7187E">
      <w:pPr>
        <w:snapToGrid w:val="0"/>
        <w:ind w:firstLine="723" w:firstLineChars="200"/>
        <w:jc w:val="center"/>
        <w:rPr>
          <w:rFonts w:hint="eastAsia" w:ascii="方正小标宋_GBK" w:hAnsi="宋体" w:eastAsia="方正小标宋_GBK" w:cs="宋体"/>
          <w:b/>
          <w:bCs/>
          <w:snapToGrid w:val="0"/>
          <w:color w:val="000000"/>
          <w:kern w:val="21"/>
          <w:position w:val="2"/>
          <w:sz w:val="36"/>
          <w:szCs w:val="36"/>
          <w:highlight w:val="none"/>
        </w:rPr>
      </w:pPr>
    </w:p>
    <w:p w14:paraId="7CEF9652">
      <w:pPr>
        <w:snapToGrid w:val="0"/>
        <w:jc w:val="center"/>
        <w:rPr>
          <w:rFonts w:hint="eastAsia" w:ascii="方正小标宋_GBK" w:hAnsi="宋体" w:eastAsia="方正小标宋_GBK" w:cs="宋体"/>
          <w:b/>
          <w:bCs/>
          <w:snapToGrid w:val="0"/>
          <w:color w:val="000000"/>
          <w:kern w:val="21"/>
          <w:position w:val="2"/>
          <w:sz w:val="36"/>
          <w:szCs w:val="36"/>
          <w:highlight w:val="none"/>
        </w:rPr>
      </w:pPr>
      <w:r>
        <w:rPr>
          <w:rFonts w:hint="eastAsia" w:ascii="方正小标宋_GBK" w:hAnsi="宋体" w:eastAsia="方正小标宋_GBK" w:cs="宋体"/>
          <w:b/>
          <w:bCs/>
          <w:snapToGrid w:val="0"/>
          <w:color w:val="000000"/>
          <w:kern w:val="21"/>
          <w:position w:val="2"/>
          <w:sz w:val="36"/>
          <w:szCs w:val="36"/>
          <w:highlight w:val="none"/>
          <w:u w:val="single"/>
          <w:lang w:val="en-US" w:eastAsia="zh-CN"/>
        </w:rPr>
        <w:t xml:space="preserve">               </w:t>
      </w:r>
      <w:r>
        <w:rPr>
          <w:rFonts w:hint="eastAsia" w:ascii="方正小标宋_GBK" w:hAnsi="宋体" w:eastAsia="方正小标宋_GBK" w:cs="宋体"/>
          <w:b/>
          <w:bCs/>
          <w:snapToGrid w:val="0"/>
          <w:color w:val="000000"/>
          <w:kern w:val="21"/>
          <w:position w:val="2"/>
          <w:sz w:val="36"/>
          <w:szCs w:val="36"/>
          <w:highlight w:val="none"/>
        </w:rPr>
        <w:t>劳务分包合同</w:t>
      </w:r>
    </w:p>
    <w:p w14:paraId="539BAFD9">
      <w:pPr>
        <w:ind w:firstLine="480" w:firstLineChars="200"/>
        <w:jc w:val="both"/>
        <w:textAlignment w:val="center"/>
        <w:rPr>
          <w:rFonts w:hint="eastAsia" w:ascii="宋体" w:hAnsi="宋体" w:cs="宋体"/>
          <w:snapToGrid w:val="0"/>
          <w:color w:val="000000"/>
          <w:kern w:val="21"/>
          <w:position w:val="2"/>
          <w:sz w:val="24"/>
          <w:highlight w:val="none"/>
        </w:rPr>
      </w:pPr>
    </w:p>
    <w:p w14:paraId="7198143A">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方正仿宋_GBK" w:hAnsi="方正仿宋_GBK" w:eastAsia="方正仿宋_GBK" w:cs="方正仿宋_GBK"/>
          <w:b/>
          <w:bCs/>
          <w:sz w:val="24"/>
          <w:szCs w:val="24"/>
          <w:highlight w:val="none"/>
          <w:u w:val="single"/>
        </w:rPr>
      </w:pPr>
      <w:r>
        <w:rPr>
          <w:rFonts w:hint="eastAsia" w:ascii="方正仿宋_GBK" w:hAnsi="方正仿宋_GBK" w:eastAsia="方正仿宋_GBK" w:cs="方正仿宋_GBK"/>
          <w:b/>
          <w:bCs/>
          <w:sz w:val="24"/>
          <w:szCs w:val="24"/>
          <w:highlight w:val="none"/>
        </w:rPr>
        <w:t>甲方（发包方）：</w:t>
      </w:r>
      <w:r>
        <w:rPr>
          <w:rFonts w:hint="eastAsia" w:ascii="方正仿宋_GBK" w:hAnsi="方正仿宋_GBK" w:eastAsia="方正仿宋_GBK" w:cs="方正仿宋_GBK"/>
          <w:b/>
          <w:bCs/>
          <w:sz w:val="24"/>
          <w:szCs w:val="24"/>
          <w:highlight w:val="none"/>
          <w:u w:val="single"/>
        </w:rPr>
        <w:t xml:space="preserve">                                </w:t>
      </w:r>
    </w:p>
    <w:p w14:paraId="005EB6D5">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方正仿宋_GBK" w:hAnsi="方正仿宋_GBK" w:eastAsia="方正仿宋_GBK" w:cs="方正仿宋_GBK"/>
          <w:bCs/>
          <w:sz w:val="24"/>
          <w:szCs w:val="24"/>
          <w:highlight w:val="none"/>
        </w:rPr>
      </w:pPr>
      <w:r>
        <w:rPr>
          <w:rFonts w:hint="eastAsia" w:ascii="方正仿宋_GBK" w:hAnsi="方正仿宋_GBK" w:eastAsia="方正仿宋_GBK" w:cs="方正仿宋_GBK"/>
          <w:b/>
          <w:bCs/>
          <w:sz w:val="24"/>
          <w:szCs w:val="24"/>
          <w:highlight w:val="none"/>
        </w:rPr>
        <w:t>乙方（承包方）：</w:t>
      </w:r>
      <w:r>
        <w:rPr>
          <w:rFonts w:hint="eastAsia" w:ascii="方正仿宋_GBK" w:hAnsi="方正仿宋_GBK" w:eastAsia="方正仿宋_GBK" w:cs="方正仿宋_GBK"/>
          <w:b/>
          <w:bCs/>
          <w:sz w:val="24"/>
          <w:szCs w:val="24"/>
          <w:highlight w:val="none"/>
          <w:u w:val="single"/>
        </w:rPr>
        <w:t xml:space="preserve">                                </w:t>
      </w:r>
    </w:p>
    <w:p w14:paraId="22B161EE">
      <w:pPr>
        <w:keepNext w:val="0"/>
        <w:keepLines w:val="0"/>
        <w:pageBreakBefore w:val="0"/>
        <w:widowControl w:val="0"/>
        <w:kinsoku/>
        <w:wordWrap/>
        <w:overflowPunct/>
        <w:topLinePunct w:val="0"/>
        <w:autoSpaceDE/>
        <w:autoSpaceDN/>
        <w:bidi w:val="0"/>
        <w:adjustRightInd/>
        <w:snapToGrid/>
        <w:spacing w:line="240" w:lineRule="auto"/>
        <w:ind w:left="0" w:right="0" w:firstLine="480" w:firstLineChars="200"/>
        <w:jc w:val="both"/>
        <w:textAlignment w:val="auto"/>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bCs/>
          <w:sz w:val="24"/>
          <w:szCs w:val="24"/>
          <w:highlight w:val="none"/>
        </w:rPr>
        <w:t>现甲方将</w:t>
      </w:r>
      <w:r>
        <w:rPr>
          <w:rFonts w:hint="eastAsia" w:ascii="方正仿宋_GBK" w:hAnsi="方正仿宋_GBK" w:eastAsia="方正仿宋_GBK" w:cs="方正仿宋_GBK"/>
          <w:bCs/>
          <w:sz w:val="24"/>
          <w:szCs w:val="24"/>
          <w:highlight w:val="none"/>
          <w:u w:val="single"/>
        </w:rPr>
        <w:t xml:space="preserve">                </w:t>
      </w:r>
      <w:r>
        <w:rPr>
          <w:rFonts w:hint="eastAsia" w:ascii="方正仿宋_GBK" w:hAnsi="方正仿宋_GBK" w:eastAsia="方正仿宋_GBK" w:cs="方正仿宋_GBK"/>
          <w:bCs/>
          <w:sz w:val="24"/>
          <w:szCs w:val="24"/>
          <w:highlight w:val="none"/>
        </w:rPr>
        <w:t>工程工作交由乙方负责，</w:t>
      </w:r>
      <w:r>
        <w:rPr>
          <w:rFonts w:hint="eastAsia" w:ascii="方正仿宋_GBK" w:hAnsi="方正仿宋_GBK" w:eastAsia="方正仿宋_GBK" w:cs="方正仿宋_GBK"/>
          <w:sz w:val="24"/>
          <w:szCs w:val="24"/>
          <w:highlight w:val="none"/>
        </w:rPr>
        <w:t>依照《中华人民共和国民法典》及相关法律法规，结合本工程实际情况，经双方友好协商，为了明确甲、乙双方的权利与义务，双方在协商一致的基础上，特制定以下协议，供双方共同遵守。</w:t>
      </w:r>
    </w:p>
    <w:p w14:paraId="19709109">
      <w:pPr>
        <w:keepNext w:val="0"/>
        <w:keepLines w:val="0"/>
        <w:pageBreakBefore w:val="0"/>
        <w:widowControl w:val="0"/>
        <w:kinsoku/>
        <w:wordWrap/>
        <w:overflowPunct/>
        <w:topLinePunct w:val="0"/>
        <w:autoSpaceDE/>
        <w:autoSpaceDN/>
        <w:bidi w:val="0"/>
        <w:adjustRightInd/>
        <w:snapToGrid/>
        <w:spacing w:line="240" w:lineRule="auto"/>
        <w:ind w:left="0" w:right="0" w:firstLine="482" w:firstLineChars="200"/>
        <w:jc w:val="both"/>
        <w:textAlignment w:val="auto"/>
        <w:rPr>
          <w:rFonts w:hint="eastAsia" w:ascii="方正仿宋_GBK" w:hAnsi="方正仿宋_GBK" w:eastAsia="方正仿宋_GBK" w:cs="方正仿宋_GBK"/>
          <w:b/>
          <w:sz w:val="24"/>
          <w:szCs w:val="24"/>
          <w:highlight w:val="none"/>
        </w:rPr>
      </w:pPr>
      <w:r>
        <w:rPr>
          <w:rFonts w:hint="eastAsia" w:ascii="方正仿宋_GBK" w:hAnsi="方正仿宋_GBK" w:eastAsia="方正仿宋_GBK" w:cs="方正仿宋_GBK"/>
          <w:b/>
          <w:sz w:val="24"/>
          <w:szCs w:val="24"/>
          <w:highlight w:val="none"/>
        </w:rPr>
        <w:t>第一条、工程名称：</w:t>
      </w:r>
      <w:r>
        <w:rPr>
          <w:rFonts w:hint="eastAsia" w:ascii="方正仿宋_GBK" w:hAnsi="方正仿宋_GBK" w:eastAsia="方正仿宋_GBK" w:cs="方正仿宋_GBK"/>
          <w:sz w:val="24"/>
          <w:szCs w:val="24"/>
          <w:highlight w:val="none"/>
          <w:u w:val="single"/>
        </w:rPr>
        <w:t xml:space="preserve"> </w:t>
      </w:r>
      <w:r>
        <w:rPr>
          <w:rFonts w:hint="eastAsia" w:ascii="方正仿宋_GBK" w:hAnsi="方正仿宋_GBK" w:eastAsia="方正仿宋_GBK" w:cs="方正仿宋_GBK"/>
          <w:bCs/>
          <w:sz w:val="24"/>
          <w:szCs w:val="24"/>
          <w:highlight w:val="none"/>
          <w:u w:val="single"/>
        </w:rPr>
        <w:t xml:space="preserve">                    </w:t>
      </w:r>
      <w:r>
        <w:rPr>
          <w:rFonts w:hint="eastAsia" w:ascii="方正仿宋_GBK" w:hAnsi="方正仿宋_GBK" w:eastAsia="方正仿宋_GBK" w:cs="方正仿宋_GBK"/>
          <w:sz w:val="24"/>
          <w:szCs w:val="24"/>
          <w:highlight w:val="none"/>
          <w:u w:val="single"/>
        </w:rPr>
        <w:t xml:space="preserve"> </w:t>
      </w:r>
      <w:r>
        <w:rPr>
          <w:rFonts w:hint="eastAsia" w:ascii="方正仿宋_GBK" w:hAnsi="方正仿宋_GBK" w:eastAsia="方正仿宋_GBK" w:cs="方正仿宋_GBK"/>
          <w:sz w:val="24"/>
          <w:szCs w:val="24"/>
          <w:highlight w:val="none"/>
        </w:rPr>
        <w:t>工程</w:t>
      </w:r>
    </w:p>
    <w:p w14:paraId="75B3EA7F">
      <w:pPr>
        <w:keepNext w:val="0"/>
        <w:keepLines w:val="0"/>
        <w:pageBreakBefore w:val="0"/>
        <w:widowControl w:val="0"/>
        <w:kinsoku/>
        <w:wordWrap/>
        <w:overflowPunct/>
        <w:topLinePunct w:val="0"/>
        <w:autoSpaceDE/>
        <w:autoSpaceDN/>
        <w:bidi w:val="0"/>
        <w:adjustRightInd/>
        <w:snapToGrid/>
        <w:spacing w:line="240" w:lineRule="auto"/>
        <w:ind w:left="0" w:right="0" w:firstLine="482" w:firstLineChars="200"/>
        <w:jc w:val="both"/>
        <w:textAlignment w:val="auto"/>
        <w:rPr>
          <w:rFonts w:hint="eastAsia" w:ascii="方正仿宋_GBK" w:hAnsi="方正仿宋_GBK" w:eastAsia="方正仿宋_GBK" w:cs="方正仿宋_GBK"/>
          <w:bCs/>
          <w:sz w:val="24"/>
          <w:szCs w:val="24"/>
          <w:highlight w:val="none"/>
        </w:rPr>
      </w:pPr>
      <w:r>
        <w:rPr>
          <w:rFonts w:hint="eastAsia" w:ascii="方正仿宋_GBK" w:hAnsi="方正仿宋_GBK" w:eastAsia="方正仿宋_GBK" w:cs="方正仿宋_GBK"/>
          <w:b/>
          <w:bCs/>
          <w:sz w:val="24"/>
          <w:szCs w:val="24"/>
          <w:highlight w:val="none"/>
        </w:rPr>
        <w:t>第二条、施工地点：</w:t>
      </w:r>
      <w:r>
        <w:rPr>
          <w:rFonts w:hint="eastAsia" w:ascii="方正仿宋_GBK" w:hAnsi="方正仿宋_GBK" w:eastAsia="方正仿宋_GBK" w:cs="方正仿宋_GBK"/>
          <w:sz w:val="24"/>
          <w:szCs w:val="24"/>
          <w:highlight w:val="none"/>
        </w:rPr>
        <w:t>甲方指定养护地点</w:t>
      </w:r>
    </w:p>
    <w:p w14:paraId="67209607">
      <w:pPr>
        <w:keepNext w:val="0"/>
        <w:keepLines w:val="0"/>
        <w:pageBreakBefore w:val="0"/>
        <w:widowControl w:val="0"/>
        <w:kinsoku/>
        <w:wordWrap/>
        <w:overflowPunct/>
        <w:topLinePunct w:val="0"/>
        <w:autoSpaceDE/>
        <w:autoSpaceDN/>
        <w:bidi w:val="0"/>
        <w:adjustRightInd/>
        <w:snapToGrid/>
        <w:spacing w:line="240" w:lineRule="auto"/>
        <w:ind w:left="0" w:right="0" w:firstLine="482" w:firstLineChars="200"/>
        <w:jc w:val="both"/>
        <w:textAlignment w:val="auto"/>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b/>
          <w:bCs/>
          <w:sz w:val="24"/>
          <w:szCs w:val="24"/>
          <w:highlight w:val="none"/>
        </w:rPr>
        <w:t>第三条、养护期限：</w:t>
      </w:r>
      <w:r>
        <w:rPr>
          <w:rFonts w:hint="eastAsia" w:ascii="方正仿宋_GBK" w:hAnsi="方正仿宋_GBK" w:eastAsia="方正仿宋_GBK" w:cs="方正仿宋_GBK"/>
          <w:bCs/>
          <w:sz w:val="24"/>
          <w:szCs w:val="24"/>
          <w:highlight w:val="none"/>
          <w:u w:val="single"/>
        </w:rPr>
        <w:t xml:space="preserve"> 壹 </w:t>
      </w:r>
      <w:r>
        <w:rPr>
          <w:rFonts w:hint="eastAsia" w:ascii="方正仿宋_GBK" w:hAnsi="方正仿宋_GBK" w:eastAsia="方正仿宋_GBK" w:cs="方正仿宋_GBK"/>
          <w:bCs/>
          <w:sz w:val="24"/>
          <w:szCs w:val="24"/>
          <w:highlight w:val="none"/>
        </w:rPr>
        <w:t>年，</w:t>
      </w:r>
      <w:r>
        <w:rPr>
          <w:rFonts w:hint="eastAsia" w:ascii="方正仿宋_GBK" w:hAnsi="方正仿宋_GBK" w:eastAsia="方正仿宋_GBK" w:cs="方正仿宋_GBK"/>
          <w:sz w:val="24"/>
          <w:szCs w:val="24"/>
          <w:highlight w:val="none"/>
        </w:rPr>
        <w:t>自</w:t>
      </w:r>
      <w:r>
        <w:rPr>
          <w:rFonts w:hint="eastAsia" w:ascii="方正仿宋_GBK" w:hAnsi="方正仿宋_GBK" w:eastAsia="方正仿宋_GBK" w:cs="方正仿宋_GBK"/>
          <w:sz w:val="24"/>
          <w:szCs w:val="24"/>
          <w:highlight w:val="none"/>
          <w:u w:val="single"/>
        </w:rPr>
        <w:t xml:space="preserve"> </w:t>
      </w:r>
      <w:r>
        <w:rPr>
          <w:rFonts w:hint="eastAsia" w:ascii="方正仿宋_GBK" w:hAnsi="方正仿宋_GBK" w:eastAsia="方正仿宋_GBK" w:cs="方正仿宋_GBK"/>
          <w:sz w:val="24"/>
          <w:szCs w:val="24"/>
          <w:highlight w:val="none"/>
          <w:u w:val="single"/>
          <w:lang w:val="en-US" w:eastAsia="zh-CN"/>
        </w:rPr>
        <w:t>2026</w:t>
      </w:r>
      <w:r>
        <w:rPr>
          <w:rFonts w:hint="eastAsia" w:ascii="方正仿宋_GBK" w:hAnsi="方正仿宋_GBK" w:eastAsia="方正仿宋_GBK" w:cs="方正仿宋_GBK"/>
          <w:sz w:val="24"/>
          <w:szCs w:val="24"/>
          <w:highlight w:val="none"/>
          <w:u w:val="single"/>
        </w:rPr>
        <w:t xml:space="preserve"> </w:t>
      </w:r>
      <w:r>
        <w:rPr>
          <w:rFonts w:hint="eastAsia" w:ascii="方正仿宋_GBK" w:hAnsi="方正仿宋_GBK" w:eastAsia="方正仿宋_GBK" w:cs="方正仿宋_GBK"/>
          <w:sz w:val="24"/>
          <w:szCs w:val="24"/>
          <w:highlight w:val="none"/>
        </w:rPr>
        <w:t>年</w:t>
      </w:r>
      <w:r>
        <w:rPr>
          <w:rFonts w:hint="eastAsia" w:ascii="方正仿宋_GBK" w:hAnsi="方正仿宋_GBK" w:eastAsia="方正仿宋_GBK" w:cs="方正仿宋_GBK"/>
          <w:sz w:val="24"/>
          <w:szCs w:val="24"/>
          <w:highlight w:val="none"/>
          <w:u w:val="single"/>
        </w:rPr>
        <w:t xml:space="preserve">  </w:t>
      </w:r>
      <w:r>
        <w:rPr>
          <w:rFonts w:hint="eastAsia" w:ascii="方正仿宋_GBK" w:hAnsi="方正仿宋_GBK" w:eastAsia="方正仿宋_GBK" w:cs="方正仿宋_GBK"/>
          <w:sz w:val="24"/>
          <w:szCs w:val="24"/>
          <w:highlight w:val="none"/>
        </w:rPr>
        <w:t>月</w:t>
      </w:r>
      <w:r>
        <w:rPr>
          <w:rFonts w:hint="eastAsia" w:ascii="方正仿宋_GBK" w:hAnsi="方正仿宋_GBK" w:eastAsia="方正仿宋_GBK" w:cs="方正仿宋_GBK"/>
          <w:sz w:val="24"/>
          <w:szCs w:val="24"/>
          <w:highlight w:val="none"/>
          <w:u w:val="single"/>
        </w:rPr>
        <w:t xml:space="preserve">   </w:t>
      </w:r>
      <w:r>
        <w:rPr>
          <w:rFonts w:hint="eastAsia" w:ascii="方正仿宋_GBK" w:hAnsi="方正仿宋_GBK" w:eastAsia="方正仿宋_GBK" w:cs="方正仿宋_GBK"/>
          <w:sz w:val="24"/>
          <w:szCs w:val="24"/>
          <w:highlight w:val="none"/>
        </w:rPr>
        <w:t>日至</w:t>
      </w:r>
      <w:r>
        <w:rPr>
          <w:rFonts w:hint="eastAsia" w:ascii="方正仿宋_GBK" w:hAnsi="方正仿宋_GBK" w:eastAsia="方正仿宋_GBK" w:cs="方正仿宋_GBK"/>
          <w:sz w:val="24"/>
          <w:szCs w:val="24"/>
          <w:highlight w:val="none"/>
          <w:u w:val="single"/>
        </w:rPr>
        <w:t xml:space="preserve"> </w:t>
      </w:r>
      <w:r>
        <w:rPr>
          <w:rFonts w:hint="eastAsia" w:ascii="方正仿宋_GBK" w:hAnsi="方正仿宋_GBK" w:eastAsia="方正仿宋_GBK" w:cs="方正仿宋_GBK"/>
          <w:sz w:val="24"/>
          <w:szCs w:val="24"/>
          <w:highlight w:val="none"/>
          <w:u w:val="single"/>
          <w:lang w:val="en-US" w:eastAsia="zh-CN"/>
        </w:rPr>
        <w:t>2027</w:t>
      </w:r>
      <w:r>
        <w:rPr>
          <w:rFonts w:hint="eastAsia" w:ascii="方正仿宋_GBK" w:hAnsi="方正仿宋_GBK" w:eastAsia="方正仿宋_GBK" w:cs="方正仿宋_GBK"/>
          <w:sz w:val="24"/>
          <w:szCs w:val="24"/>
          <w:highlight w:val="none"/>
          <w:u w:val="single"/>
        </w:rPr>
        <w:t xml:space="preserve"> </w:t>
      </w:r>
      <w:r>
        <w:rPr>
          <w:rFonts w:hint="eastAsia" w:ascii="方正仿宋_GBK" w:hAnsi="方正仿宋_GBK" w:eastAsia="方正仿宋_GBK" w:cs="方正仿宋_GBK"/>
          <w:sz w:val="24"/>
          <w:szCs w:val="24"/>
          <w:highlight w:val="none"/>
        </w:rPr>
        <w:t>年</w:t>
      </w:r>
      <w:r>
        <w:rPr>
          <w:rFonts w:hint="eastAsia" w:ascii="方正仿宋_GBK" w:hAnsi="方正仿宋_GBK" w:eastAsia="方正仿宋_GBK" w:cs="方正仿宋_GBK"/>
          <w:sz w:val="24"/>
          <w:szCs w:val="24"/>
          <w:highlight w:val="none"/>
          <w:u w:val="single"/>
        </w:rPr>
        <w:t xml:space="preserve">  </w:t>
      </w:r>
      <w:r>
        <w:rPr>
          <w:rFonts w:hint="eastAsia" w:ascii="方正仿宋_GBK" w:hAnsi="方正仿宋_GBK" w:eastAsia="方正仿宋_GBK" w:cs="方正仿宋_GBK"/>
          <w:sz w:val="24"/>
          <w:szCs w:val="24"/>
          <w:highlight w:val="none"/>
        </w:rPr>
        <w:t>月</w:t>
      </w:r>
      <w:r>
        <w:rPr>
          <w:rFonts w:hint="eastAsia" w:ascii="方正仿宋_GBK" w:hAnsi="方正仿宋_GBK" w:eastAsia="方正仿宋_GBK" w:cs="方正仿宋_GBK"/>
          <w:sz w:val="24"/>
          <w:szCs w:val="24"/>
          <w:highlight w:val="none"/>
          <w:u w:val="single"/>
          <w:lang w:val="en-US" w:eastAsia="zh-CN"/>
        </w:rPr>
        <w:t xml:space="preserve">   </w:t>
      </w:r>
      <w:r>
        <w:rPr>
          <w:rFonts w:hint="eastAsia" w:ascii="方正仿宋_GBK" w:hAnsi="方正仿宋_GBK" w:eastAsia="方正仿宋_GBK" w:cs="方正仿宋_GBK"/>
          <w:sz w:val="24"/>
          <w:szCs w:val="24"/>
          <w:highlight w:val="none"/>
        </w:rPr>
        <w:t>日</w:t>
      </w:r>
    </w:p>
    <w:p w14:paraId="26FA3AC4">
      <w:pPr>
        <w:keepNext w:val="0"/>
        <w:keepLines w:val="0"/>
        <w:pageBreakBefore w:val="0"/>
        <w:widowControl w:val="0"/>
        <w:tabs>
          <w:tab w:val="left" w:pos="8196"/>
        </w:tabs>
        <w:kinsoku/>
        <w:wordWrap/>
        <w:overflowPunct/>
        <w:topLinePunct w:val="0"/>
        <w:autoSpaceDE/>
        <w:autoSpaceDN/>
        <w:bidi w:val="0"/>
        <w:adjustRightInd/>
        <w:snapToGrid/>
        <w:spacing w:line="240" w:lineRule="auto"/>
        <w:ind w:left="0" w:right="0" w:firstLine="482" w:firstLineChars="200"/>
        <w:jc w:val="both"/>
        <w:textAlignment w:val="auto"/>
        <w:rPr>
          <w:rFonts w:hint="eastAsia" w:ascii="方正仿宋_GBK" w:hAnsi="方正仿宋_GBK" w:eastAsia="方正仿宋_GBK" w:cs="方正仿宋_GBK"/>
          <w:b/>
          <w:bCs/>
          <w:sz w:val="24"/>
          <w:szCs w:val="24"/>
          <w:highlight w:val="none"/>
        </w:rPr>
      </w:pPr>
      <w:r>
        <w:rPr>
          <w:rFonts w:hint="eastAsia" w:ascii="方正仿宋_GBK" w:hAnsi="方正仿宋_GBK" w:eastAsia="方正仿宋_GBK" w:cs="方正仿宋_GBK"/>
          <w:b/>
          <w:bCs/>
          <w:sz w:val="24"/>
          <w:szCs w:val="24"/>
          <w:highlight w:val="none"/>
        </w:rPr>
        <w:t>第</w:t>
      </w:r>
      <w:r>
        <w:rPr>
          <w:rFonts w:hint="eastAsia" w:ascii="方正仿宋_GBK" w:hAnsi="方正仿宋_GBK" w:eastAsia="方正仿宋_GBK" w:cs="方正仿宋_GBK"/>
          <w:b/>
          <w:bCs/>
          <w:sz w:val="24"/>
          <w:szCs w:val="24"/>
          <w:highlight w:val="none"/>
          <w:lang w:val="en-US" w:eastAsia="zh-CN"/>
        </w:rPr>
        <w:t>四</w:t>
      </w:r>
      <w:r>
        <w:rPr>
          <w:rFonts w:hint="eastAsia" w:ascii="方正仿宋_GBK" w:hAnsi="方正仿宋_GBK" w:eastAsia="方正仿宋_GBK" w:cs="方正仿宋_GBK"/>
          <w:b/>
          <w:bCs/>
          <w:sz w:val="24"/>
          <w:szCs w:val="24"/>
          <w:highlight w:val="none"/>
        </w:rPr>
        <w:t>条、人员配置及工作内容</w:t>
      </w:r>
    </w:p>
    <w:p w14:paraId="2233FBAE">
      <w:pPr>
        <w:keepNext w:val="0"/>
        <w:keepLines w:val="0"/>
        <w:pageBreakBefore w:val="0"/>
        <w:widowControl w:val="0"/>
        <w:kinsoku/>
        <w:wordWrap/>
        <w:overflowPunct/>
        <w:topLinePunct w:val="0"/>
        <w:autoSpaceDE/>
        <w:autoSpaceDN/>
        <w:bidi w:val="0"/>
        <w:adjustRightInd/>
        <w:snapToGrid/>
        <w:spacing w:line="240" w:lineRule="auto"/>
        <w:ind w:left="0" w:right="0" w:firstLine="480" w:firstLineChars="200"/>
        <w:jc w:val="both"/>
        <w:textAlignment w:val="auto"/>
        <w:rPr>
          <w:rFonts w:hint="eastAsia" w:ascii="方正仿宋_GBK" w:hAnsi="方正仿宋_GBK" w:eastAsia="方正仿宋_GBK" w:cs="方正仿宋_GBK"/>
          <w:bCs/>
          <w:sz w:val="24"/>
          <w:szCs w:val="24"/>
          <w:highlight w:val="none"/>
        </w:rPr>
      </w:pPr>
      <w:r>
        <w:rPr>
          <w:rFonts w:hint="eastAsia" w:ascii="方正仿宋_GBK" w:hAnsi="方正仿宋_GBK" w:eastAsia="方正仿宋_GBK" w:cs="方正仿宋_GBK"/>
          <w:bCs/>
          <w:sz w:val="24"/>
          <w:szCs w:val="24"/>
          <w:highlight w:val="none"/>
        </w:rPr>
        <w:t>1、乙方派驻项目负责人：为乙方公司正式员工，正常缴纳社会保险，无在手工程，</w:t>
      </w:r>
      <w:r>
        <w:rPr>
          <w:rFonts w:hint="eastAsia" w:ascii="方正仿宋_GBK" w:hAnsi="方正仿宋_GBK" w:eastAsia="方正仿宋_GBK" w:cs="方正仿宋_GBK"/>
          <w:bCs/>
          <w:sz w:val="24"/>
          <w:szCs w:val="24"/>
          <w:highlight w:val="none"/>
          <w:lang w:val="en-US" w:eastAsia="zh-CN"/>
        </w:rPr>
        <w:t>具有</w:t>
      </w:r>
      <w:r>
        <w:rPr>
          <w:rFonts w:hint="eastAsia" w:ascii="方正仿宋_GBK" w:hAnsi="方正仿宋_GBK" w:eastAsia="方正仿宋_GBK" w:cs="方正仿宋_GBK"/>
          <w:bCs/>
          <w:sz w:val="24"/>
          <w:szCs w:val="24"/>
          <w:highlight w:val="none"/>
        </w:rPr>
        <w:t>园林绿化类中级及以上职称。</w:t>
      </w:r>
    </w:p>
    <w:p w14:paraId="587093E8">
      <w:pPr>
        <w:keepNext w:val="0"/>
        <w:keepLines w:val="0"/>
        <w:pageBreakBefore w:val="0"/>
        <w:widowControl w:val="0"/>
        <w:kinsoku/>
        <w:wordWrap/>
        <w:overflowPunct/>
        <w:topLinePunct w:val="0"/>
        <w:autoSpaceDE/>
        <w:autoSpaceDN/>
        <w:bidi w:val="0"/>
        <w:adjustRightInd/>
        <w:snapToGrid/>
        <w:spacing w:line="240" w:lineRule="auto"/>
        <w:ind w:left="0" w:right="0" w:firstLine="480" w:firstLineChars="200"/>
        <w:jc w:val="both"/>
        <w:textAlignment w:val="auto"/>
        <w:rPr>
          <w:rFonts w:hint="eastAsia" w:ascii="方正仿宋_GBK" w:hAnsi="方正仿宋_GBK" w:eastAsia="方正仿宋_GBK" w:cs="方正仿宋_GBK"/>
          <w:b/>
          <w:bCs/>
          <w:sz w:val="24"/>
          <w:szCs w:val="24"/>
          <w:highlight w:val="none"/>
        </w:rPr>
      </w:pPr>
      <w:r>
        <w:rPr>
          <w:rFonts w:hint="eastAsia" w:ascii="方正仿宋_GBK" w:hAnsi="方正仿宋_GBK" w:eastAsia="方正仿宋_GBK" w:cs="方正仿宋_GBK"/>
          <w:bCs/>
          <w:sz w:val="24"/>
          <w:szCs w:val="24"/>
          <w:highlight w:val="none"/>
          <w:lang w:val="en-US" w:eastAsia="zh-CN"/>
        </w:rPr>
        <w:t>2</w:t>
      </w:r>
      <w:r>
        <w:rPr>
          <w:rFonts w:hint="eastAsia" w:ascii="方正仿宋_GBK" w:hAnsi="方正仿宋_GBK" w:eastAsia="方正仿宋_GBK" w:cs="方正仿宋_GBK"/>
          <w:bCs/>
          <w:sz w:val="24"/>
          <w:szCs w:val="24"/>
          <w:highlight w:val="none"/>
        </w:rPr>
        <w:t>、工作内容应包含浇水、除草、松土、培土、排灌、施肥、修剪、补植、防病、除虫、防风、防寒、卫生及安全维护</w:t>
      </w:r>
      <w:r>
        <w:rPr>
          <w:rFonts w:hint="eastAsia" w:ascii="方正仿宋_GBK" w:hAnsi="方正仿宋_GBK" w:eastAsia="方正仿宋_GBK" w:cs="方正仿宋_GBK"/>
          <w:bCs/>
          <w:sz w:val="24"/>
          <w:szCs w:val="24"/>
          <w:highlight w:val="none"/>
          <w:lang w:eastAsia="zh-CN"/>
        </w:rPr>
        <w:t>、</w:t>
      </w:r>
      <w:r>
        <w:rPr>
          <w:rFonts w:hint="eastAsia" w:ascii="方正仿宋_GBK" w:hAnsi="方正仿宋_GBK" w:eastAsia="方正仿宋_GBK" w:cs="方正仿宋_GBK"/>
          <w:bCs/>
          <w:sz w:val="24"/>
          <w:szCs w:val="24"/>
          <w:highlight w:val="none"/>
          <w:lang w:val="en-US" w:eastAsia="zh-CN"/>
        </w:rPr>
        <w:t>扬尘防治</w:t>
      </w:r>
      <w:r>
        <w:rPr>
          <w:rFonts w:hint="eastAsia" w:ascii="方正仿宋_GBK" w:hAnsi="方正仿宋_GBK" w:eastAsia="方正仿宋_GBK" w:cs="方正仿宋_GBK"/>
          <w:bCs/>
          <w:sz w:val="24"/>
          <w:szCs w:val="24"/>
          <w:highlight w:val="none"/>
        </w:rPr>
        <w:t>等。</w:t>
      </w:r>
    </w:p>
    <w:p w14:paraId="115B52A6">
      <w:pPr>
        <w:keepNext w:val="0"/>
        <w:keepLines w:val="0"/>
        <w:pageBreakBefore w:val="0"/>
        <w:widowControl w:val="0"/>
        <w:tabs>
          <w:tab w:val="center" w:pos="4513"/>
        </w:tabs>
        <w:kinsoku/>
        <w:wordWrap/>
        <w:overflowPunct/>
        <w:topLinePunct w:val="0"/>
        <w:autoSpaceDE/>
        <w:autoSpaceDN/>
        <w:bidi w:val="0"/>
        <w:adjustRightInd/>
        <w:snapToGrid/>
        <w:spacing w:line="240" w:lineRule="auto"/>
        <w:ind w:left="0" w:right="0" w:firstLine="482" w:firstLineChars="200"/>
        <w:jc w:val="both"/>
        <w:textAlignment w:val="auto"/>
        <w:rPr>
          <w:rFonts w:hint="eastAsia" w:ascii="方正仿宋_GBK" w:hAnsi="方正仿宋_GBK" w:eastAsia="方正仿宋_GBK" w:cs="方正仿宋_GBK"/>
          <w:b/>
          <w:bCs/>
          <w:sz w:val="24"/>
          <w:szCs w:val="24"/>
          <w:highlight w:val="none"/>
        </w:rPr>
      </w:pPr>
      <w:r>
        <w:rPr>
          <w:rFonts w:hint="eastAsia" w:ascii="方正仿宋_GBK" w:hAnsi="方正仿宋_GBK" w:eastAsia="方正仿宋_GBK" w:cs="方正仿宋_GBK"/>
          <w:b/>
          <w:bCs/>
          <w:sz w:val="24"/>
          <w:szCs w:val="24"/>
          <w:highlight w:val="none"/>
        </w:rPr>
        <w:t>第五条、计价方式</w:t>
      </w:r>
    </w:p>
    <w:p w14:paraId="1FD88BE7">
      <w:pPr>
        <w:keepNext w:val="0"/>
        <w:keepLines w:val="0"/>
        <w:pageBreakBefore w:val="0"/>
        <w:widowControl w:val="0"/>
        <w:kinsoku/>
        <w:wordWrap/>
        <w:overflowPunct/>
        <w:topLinePunct w:val="0"/>
        <w:autoSpaceDE/>
        <w:autoSpaceDN/>
        <w:bidi w:val="0"/>
        <w:adjustRightInd/>
        <w:snapToGrid/>
        <w:spacing w:line="240" w:lineRule="auto"/>
        <w:ind w:left="0" w:right="0" w:firstLine="480" w:firstLineChars="200"/>
        <w:jc w:val="both"/>
        <w:textAlignment w:val="auto"/>
        <w:rPr>
          <w:rFonts w:hint="eastAsia" w:ascii="方正仿宋_GBK" w:hAnsi="方正仿宋_GBK" w:eastAsia="方正仿宋_GBK" w:cs="方正仿宋_GBK"/>
          <w:bCs/>
          <w:sz w:val="24"/>
          <w:szCs w:val="24"/>
          <w:highlight w:val="none"/>
        </w:rPr>
      </w:pPr>
      <w:r>
        <w:rPr>
          <w:rFonts w:hint="eastAsia" w:ascii="方正仿宋_GBK" w:hAnsi="方正仿宋_GBK" w:eastAsia="方正仿宋_GBK" w:cs="方正仿宋_GBK"/>
          <w:bCs/>
          <w:sz w:val="24"/>
          <w:szCs w:val="24"/>
          <w:highlight w:val="none"/>
        </w:rPr>
        <w:t>1、单位工程项目按投标</w:t>
      </w:r>
      <w:r>
        <w:rPr>
          <w:rFonts w:hint="eastAsia" w:ascii="方正仿宋_GBK" w:hAnsi="方正仿宋_GBK" w:eastAsia="方正仿宋_GBK" w:cs="方正仿宋_GBK"/>
          <w:bCs/>
          <w:sz w:val="24"/>
          <w:szCs w:val="24"/>
          <w:highlight w:val="none"/>
          <w:u w:val="single"/>
          <w:lang w:val="en-US" w:eastAsia="zh-CN"/>
        </w:rPr>
        <w:t>固定单价</w:t>
      </w:r>
      <w:r>
        <w:rPr>
          <w:rFonts w:hint="eastAsia" w:ascii="方正仿宋_GBK" w:hAnsi="方正仿宋_GBK" w:eastAsia="方正仿宋_GBK" w:cs="方正仿宋_GBK"/>
          <w:bCs/>
          <w:sz w:val="24"/>
          <w:szCs w:val="24"/>
          <w:highlight w:val="none"/>
        </w:rPr>
        <w:t>执行，综合单价应包括合同规定的所有工作内容及一切与养护内容相关的辅材、工具、机械</w:t>
      </w:r>
      <w:r>
        <w:rPr>
          <w:rFonts w:hint="eastAsia" w:ascii="方正仿宋_GBK" w:hAnsi="方正仿宋_GBK" w:eastAsia="方正仿宋_GBK" w:cs="方正仿宋_GBK"/>
          <w:bCs/>
          <w:sz w:val="24"/>
          <w:szCs w:val="24"/>
          <w:highlight w:val="none"/>
          <w:lang w:eastAsia="zh-CN"/>
        </w:rPr>
        <w:t>、</w:t>
      </w:r>
      <w:r>
        <w:rPr>
          <w:rFonts w:hint="eastAsia" w:ascii="方正仿宋_GBK" w:hAnsi="方正仿宋_GBK" w:eastAsia="方正仿宋_GBK" w:cs="方正仿宋_GBK"/>
          <w:bCs/>
          <w:sz w:val="24"/>
          <w:szCs w:val="24"/>
          <w:highlight w:val="none"/>
          <w:lang w:val="en-US" w:eastAsia="zh-CN"/>
        </w:rPr>
        <w:t>扬尘防治</w:t>
      </w:r>
      <w:r>
        <w:rPr>
          <w:rFonts w:hint="eastAsia" w:ascii="方正仿宋_GBK" w:hAnsi="方正仿宋_GBK" w:eastAsia="方正仿宋_GBK" w:cs="方正仿宋_GBK"/>
          <w:bCs/>
          <w:sz w:val="24"/>
          <w:szCs w:val="24"/>
          <w:highlight w:val="none"/>
        </w:rPr>
        <w:t>费用。</w:t>
      </w:r>
    </w:p>
    <w:p w14:paraId="3FCBBD0C">
      <w:pPr>
        <w:keepNext w:val="0"/>
        <w:keepLines w:val="0"/>
        <w:pageBreakBefore w:val="0"/>
        <w:widowControl w:val="0"/>
        <w:kinsoku/>
        <w:wordWrap/>
        <w:overflowPunct/>
        <w:topLinePunct w:val="0"/>
        <w:autoSpaceDE/>
        <w:autoSpaceDN/>
        <w:bidi w:val="0"/>
        <w:adjustRightInd/>
        <w:snapToGrid/>
        <w:spacing w:line="240" w:lineRule="auto"/>
        <w:ind w:left="0" w:right="0" w:firstLine="480" w:firstLineChars="200"/>
        <w:jc w:val="both"/>
        <w:textAlignment w:val="auto"/>
        <w:rPr>
          <w:rFonts w:hint="eastAsia" w:ascii="方正仿宋_GBK" w:hAnsi="方正仿宋_GBK" w:eastAsia="方正仿宋_GBK" w:cs="方正仿宋_GBK"/>
          <w:bCs/>
          <w:sz w:val="24"/>
          <w:szCs w:val="24"/>
          <w:highlight w:val="none"/>
        </w:rPr>
      </w:pPr>
      <w:r>
        <w:rPr>
          <w:rFonts w:hint="eastAsia" w:ascii="方正仿宋_GBK" w:hAnsi="方正仿宋_GBK" w:eastAsia="方正仿宋_GBK" w:cs="方正仿宋_GBK"/>
          <w:bCs/>
          <w:sz w:val="24"/>
          <w:szCs w:val="24"/>
          <w:highlight w:val="none"/>
        </w:rPr>
        <w:t>2、如有调整，甲、乙双方另行签订补充协议。</w:t>
      </w:r>
    </w:p>
    <w:p w14:paraId="6134C657">
      <w:pPr>
        <w:keepNext w:val="0"/>
        <w:keepLines w:val="0"/>
        <w:pageBreakBefore w:val="0"/>
        <w:widowControl w:val="0"/>
        <w:tabs>
          <w:tab w:val="center" w:pos="4513"/>
        </w:tabs>
        <w:kinsoku/>
        <w:wordWrap/>
        <w:overflowPunct/>
        <w:topLinePunct w:val="0"/>
        <w:autoSpaceDE/>
        <w:autoSpaceDN/>
        <w:bidi w:val="0"/>
        <w:adjustRightInd/>
        <w:snapToGrid/>
        <w:spacing w:line="240" w:lineRule="auto"/>
        <w:ind w:left="0" w:right="0" w:firstLine="482" w:firstLineChars="200"/>
        <w:jc w:val="both"/>
        <w:textAlignment w:val="auto"/>
        <w:rPr>
          <w:rFonts w:hint="eastAsia" w:ascii="方正仿宋_GBK" w:hAnsi="方正仿宋_GBK" w:eastAsia="方正仿宋_GBK" w:cs="方正仿宋_GBK"/>
          <w:b/>
          <w:bCs/>
          <w:sz w:val="24"/>
          <w:szCs w:val="24"/>
          <w:highlight w:val="none"/>
        </w:rPr>
      </w:pPr>
      <w:r>
        <w:rPr>
          <w:rFonts w:hint="eastAsia" w:ascii="方正仿宋_GBK" w:hAnsi="方正仿宋_GBK" w:eastAsia="方正仿宋_GBK" w:cs="方正仿宋_GBK"/>
          <w:b/>
          <w:bCs/>
          <w:sz w:val="24"/>
          <w:szCs w:val="24"/>
          <w:highlight w:val="none"/>
        </w:rPr>
        <w:t>第六条、合同价与付款方式</w:t>
      </w:r>
    </w:p>
    <w:p w14:paraId="4B82EEBF">
      <w:pPr>
        <w:keepNext w:val="0"/>
        <w:keepLines w:val="0"/>
        <w:pageBreakBefore w:val="0"/>
        <w:widowControl w:val="0"/>
        <w:kinsoku/>
        <w:wordWrap/>
        <w:overflowPunct/>
        <w:topLinePunct w:val="0"/>
        <w:autoSpaceDE/>
        <w:autoSpaceDN/>
        <w:bidi w:val="0"/>
        <w:adjustRightInd/>
        <w:snapToGrid/>
        <w:spacing w:line="240" w:lineRule="auto"/>
        <w:ind w:left="0" w:right="0" w:firstLine="480" w:firstLineChars="200"/>
        <w:jc w:val="both"/>
        <w:textAlignment w:val="auto"/>
        <w:rPr>
          <w:rFonts w:hint="eastAsia" w:ascii="方正仿宋_GBK" w:hAnsi="方正仿宋_GBK" w:eastAsia="方正仿宋_GBK" w:cs="方正仿宋_GBK"/>
          <w:bCs/>
          <w:sz w:val="24"/>
          <w:szCs w:val="24"/>
          <w:highlight w:val="none"/>
        </w:rPr>
      </w:pPr>
      <w:r>
        <w:rPr>
          <w:rFonts w:hint="eastAsia" w:ascii="方正仿宋_GBK" w:hAnsi="方正仿宋_GBK" w:eastAsia="方正仿宋_GBK" w:cs="方正仿宋_GBK"/>
          <w:bCs/>
          <w:sz w:val="24"/>
          <w:szCs w:val="24"/>
          <w:highlight w:val="none"/>
        </w:rPr>
        <w:t>1、</w:t>
      </w:r>
      <w:r>
        <w:rPr>
          <w:rFonts w:hint="eastAsia" w:ascii="方正仿宋_GBK" w:hAnsi="方正仿宋_GBK" w:eastAsia="方正仿宋_GBK" w:cs="方正仿宋_GBK"/>
          <w:snapToGrid w:val="0"/>
          <w:color w:val="auto"/>
          <w:kern w:val="21"/>
          <w:position w:val="2"/>
          <w:sz w:val="24"/>
          <w:szCs w:val="24"/>
          <w:highlight w:val="none"/>
        </w:rPr>
        <w:t>暂定</w:t>
      </w:r>
      <w:r>
        <w:rPr>
          <w:rFonts w:hint="eastAsia" w:ascii="方正仿宋_GBK" w:hAnsi="方正仿宋_GBK" w:eastAsia="方正仿宋_GBK" w:cs="方正仿宋_GBK"/>
          <w:snapToGrid w:val="0"/>
          <w:color w:val="auto"/>
          <w:kern w:val="21"/>
          <w:position w:val="2"/>
          <w:sz w:val="24"/>
          <w:szCs w:val="24"/>
          <w:highlight w:val="none"/>
          <w:lang w:val="en-US" w:eastAsia="zh-CN"/>
        </w:rPr>
        <w:t>除税</w:t>
      </w:r>
      <w:r>
        <w:rPr>
          <w:rFonts w:hint="eastAsia" w:ascii="方正仿宋_GBK" w:hAnsi="方正仿宋_GBK" w:eastAsia="方正仿宋_GBK" w:cs="方正仿宋_GBK"/>
          <w:snapToGrid w:val="0"/>
          <w:color w:val="auto"/>
          <w:kern w:val="21"/>
          <w:position w:val="2"/>
          <w:sz w:val="24"/>
          <w:szCs w:val="24"/>
          <w:highlight w:val="none"/>
        </w:rPr>
        <w:t>合同价为人民币大写：</w:t>
      </w:r>
      <w:r>
        <w:rPr>
          <w:rFonts w:hint="eastAsia" w:ascii="方正仿宋_GBK" w:hAnsi="方正仿宋_GBK" w:eastAsia="方正仿宋_GBK" w:cs="方正仿宋_GBK"/>
          <w:snapToGrid w:val="0"/>
          <w:color w:val="auto"/>
          <w:kern w:val="21"/>
          <w:position w:val="2"/>
          <w:sz w:val="24"/>
          <w:szCs w:val="24"/>
          <w:highlight w:val="none"/>
          <w:u w:val="single"/>
        </w:rPr>
        <w:t xml:space="preserve">                      </w:t>
      </w:r>
      <w:r>
        <w:rPr>
          <w:rFonts w:hint="eastAsia" w:ascii="方正仿宋_GBK" w:hAnsi="方正仿宋_GBK" w:eastAsia="方正仿宋_GBK" w:cs="方正仿宋_GBK"/>
          <w:snapToGrid w:val="0"/>
          <w:color w:val="auto"/>
          <w:kern w:val="21"/>
          <w:position w:val="2"/>
          <w:sz w:val="24"/>
          <w:szCs w:val="24"/>
          <w:highlight w:val="none"/>
        </w:rPr>
        <w:t>人民币(¥</w:t>
      </w:r>
      <w:r>
        <w:rPr>
          <w:rFonts w:hint="eastAsia" w:ascii="方正仿宋_GBK" w:hAnsi="方正仿宋_GBK" w:eastAsia="方正仿宋_GBK" w:cs="方正仿宋_GBK"/>
          <w:snapToGrid w:val="0"/>
          <w:color w:val="auto"/>
          <w:kern w:val="21"/>
          <w:position w:val="2"/>
          <w:sz w:val="24"/>
          <w:szCs w:val="24"/>
          <w:highlight w:val="none"/>
          <w:u w:val="single"/>
        </w:rPr>
        <w:t xml:space="preserve">          </w:t>
      </w:r>
      <w:r>
        <w:rPr>
          <w:rFonts w:hint="eastAsia" w:ascii="方正仿宋_GBK" w:hAnsi="方正仿宋_GBK" w:eastAsia="方正仿宋_GBK" w:cs="方正仿宋_GBK"/>
          <w:snapToGrid w:val="0"/>
          <w:color w:val="auto"/>
          <w:kern w:val="21"/>
          <w:position w:val="2"/>
          <w:sz w:val="24"/>
          <w:szCs w:val="24"/>
          <w:highlight w:val="none"/>
        </w:rPr>
        <w:t>元)</w:t>
      </w:r>
      <w:r>
        <w:rPr>
          <w:rFonts w:hint="eastAsia" w:ascii="方正仿宋_GBK" w:hAnsi="方正仿宋_GBK" w:eastAsia="方正仿宋_GBK" w:cs="方正仿宋_GBK"/>
          <w:snapToGrid w:val="0"/>
          <w:color w:val="auto"/>
          <w:kern w:val="21"/>
          <w:position w:val="2"/>
          <w:sz w:val="24"/>
          <w:szCs w:val="24"/>
          <w:highlight w:val="none"/>
          <w:lang w:eastAsia="zh-CN"/>
        </w:rPr>
        <w:t>，</w:t>
      </w:r>
      <w:r>
        <w:rPr>
          <w:rFonts w:hint="eastAsia" w:ascii="方正仿宋_GBK" w:hAnsi="方正仿宋_GBK" w:eastAsia="方正仿宋_GBK" w:cs="方正仿宋_GBK"/>
          <w:snapToGrid w:val="0"/>
          <w:color w:val="auto"/>
          <w:kern w:val="21"/>
          <w:position w:val="2"/>
          <w:sz w:val="24"/>
          <w:szCs w:val="24"/>
          <w:highlight w:val="none"/>
          <w:lang w:val="en-US" w:eastAsia="zh-CN"/>
        </w:rPr>
        <w:t>税金为</w:t>
      </w:r>
      <w:r>
        <w:rPr>
          <w:rFonts w:hint="eastAsia" w:ascii="方正仿宋_GBK" w:hAnsi="方正仿宋_GBK" w:eastAsia="方正仿宋_GBK" w:cs="方正仿宋_GBK"/>
          <w:snapToGrid w:val="0"/>
          <w:color w:val="auto"/>
          <w:kern w:val="21"/>
          <w:position w:val="2"/>
          <w:sz w:val="24"/>
          <w:szCs w:val="24"/>
          <w:highlight w:val="none"/>
        </w:rPr>
        <w:t>人民币大写：</w:t>
      </w:r>
      <w:r>
        <w:rPr>
          <w:rFonts w:hint="eastAsia" w:ascii="方正仿宋_GBK" w:hAnsi="方正仿宋_GBK" w:eastAsia="方正仿宋_GBK" w:cs="方正仿宋_GBK"/>
          <w:snapToGrid w:val="0"/>
          <w:color w:val="auto"/>
          <w:kern w:val="21"/>
          <w:position w:val="2"/>
          <w:sz w:val="24"/>
          <w:szCs w:val="24"/>
          <w:highlight w:val="none"/>
          <w:u w:val="single"/>
        </w:rPr>
        <w:t xml:space="preserve">                      </w:t>
      </w:r>
      <w:r>
        <w:rPr>
          <w:rFonts w:hint="eastAsia" w:ascii="方正仿宋_GBK" w:hAnsi="方正仿宋_GBK" w:eastAsia="方正仿宋_GBK" w:cs="方正仿宋_GBK"/>
          <w:snapToGrid w:val="0"/>
          <w:color w:val="auto"/>
          <w:kern w:val="21"/>
          <w:position w:val="2"/>
          <w:sz w:val="24"/>
          <w:szCs w:val="24"/>
          <w:highlight w:val="none"/>
        </w:rPr>
        <w:t>人民币(¥</w:t>
      </w:r>
      <w:r>
        <w:rPr>
          <w:rFonts w:hint="eastAsia" w:ascii="方正仿宋_GBK" w:hAnsi="方正仿宋_GBK" w:eastAsia="方正仿宋_GBK" w:cs="方正仿宋_GBK"/>
          <w:snapToGrid w:val="0"/>
          <w:color w:val="auto"/>
          <w:kern w:val="21"/>
          <w:position w:val="2"/>
          <w:sz w:val="24"/>
          <w:szCs w:val="24"/>
          <w:highlight w:val="none"/>
          <w:u w:val="single"/>
        </w:rPr>
        <w:t xml:space="preserve">          </w:t>
      </w:r>
      <w:r>
        <w:rPr>
          <w:rFonts w:hint="eastAsia" w:ascii="方正仿宋_GBK" w:hAnsi="方正仿宋_GBK" w:eastAsia="方正仿宋_GBK" w:cs="方正仿宋_GBK"/>
          <w:snapToGrid w:val="0"/>
          <w:color w:val="auto"/>
          <w:kern w:val="21"/>
          <w:position w:val="2"/>
          <w:sz w:val="24"/>
          <w:szCs w:val="24"/>
          <w:highlight w:val="none"/>
        </w:rPr>
        <w:t>元)</w:t>
      </w:r>
      <w:r>
        <w:rPr>
          <w:rFonts w:hint="eastAsia" w:ascii="方正仿宋_GBK" w:hAnsi="方正仿宋_GBK" w:eastAsia="方正仿宋_GBK" w:cs="方正仿宋_GBK"/>
          <w:snapToGrid w:val="0"/>
          <w:color w:val="auto"/>
          <w:kern w:val="21"/>
          <w:position w:val="2"/>
          <w:sz w:val="24"/>
          <w:szCs w:val="24"/>
          <w:highlight w:val="none"/>
          <w:lang w:eastAsia="zh-CN"/>
        </w:rPr>
        <w:t>，</w:t>
      </w:r>
      <w:r>
        <w:rPr>
          <w:rFonts w:hint="eastAsia" w:ascii="方正仿宋_GBK" w:hAnsi="方正仿宋_GBK" w:eastAsia="方正仿宋_GBK" w:cs="方正仿宋_GBK"/>
          <w:snapToGrid w:val="0"/>
          <w:color w:val="auto"/>
          <w:kern w:val="21"/>
          <w:position w:val="2"/>
          <w:sz w:val="24"/>
          <w:szCs w:val="24"/>
          <w:highlight w:val="none"/>
          <w:lang w:val="en-US" w:eastAsia="zh-CN"/>
        </w:rPr>
        <w:t>含税价为</w:t>
      </w:r>
      <w:r>
        <w:rPr>
          <w:rFonts w:hint="eastAsia" w:ascii="方正仿宋_GBK" w:hAnsi="方正仿宋_GBK" w:eastAsia="方正仿宋_GBK" w:cs="方正仿宋_GBK"/>
          <w:snapToGrid w:val="0"/>
          <w:color w:val="auto"/>
          <w:kern w:val="21"/>
          <w:position w:val="2"/>
          <w:sz w:val="24"/>
          <w:szCs w:val="24"/>
          <w:highlight w:val="none"/>
        </w:rPr>
        <w:t>人民币大写：</w:t>
      </w:r>
      <w:r>
        <w:rPr>
          <w:rFonts w:hint="eastAsia" w:ascii="方正仿宋_GBK" w:hAnsi="方正仿宋_GBK" w:eastAsia="方正仿宋_GBK" w:cs="方正仿宋_GBK"/>
          <w:snapToGrid w:val="0"/>
          <w:color w:val="auto"/>
          <w:kern w:val="21"/>
          <w:position w:val="2"/>
          <w:sz w:val="24"/>
          <w:szCs w:val="24"/>
          <w:highlight w:val="none"/>
          <w:u w:val="single"/>
        </w:rPr>
        <w:t xml:space="preserve">                      </w:t>
      </w:r>
      <w:r>
        <w:rPr>
          <w:rFonts w:hint="eastAsia" w:ascii="方正仿宋_GBK" w:hAnsi="方正仿宋_GBK" w:eastAsia="方正仿宋_GBK" w:cs="方正仿宋_GBK"/>
          <w:snapToGrid w:val="0"/>
          <w:color w:val="auto"/>
          <w:kern w:val="21"/>
          <w:position w:val="2"/>
          <w:sz w:val="24"/>
          <w:szCs w:val="24"/>
          <w:highlight w:val="none"/>
        </w:rPr>
        <w:t>人民币(¥</w:t>
      </w:r>
      <w:r>
        <w:rPr>
          <w:rFonts w:hint="eastAsia" w:ascii="方正仿宋_GBK" w:hAnsi="方正仿宋_GBK" w:eastAsia="方正仿宋_GBK" w:cs="方正仿宋_GBK"/>
          <w:snapToGrid w:val="0"/>
          <w:color w:val="auto"/>
          <w:kern w:val="21"/>
          <w:position w:val="2"/>
          <w:sz w:val="24"/>
          <w:szCs w:val="24"/>
          <w:highlight w:val="none"/>
          <w:u w:val="single"/>
        </w:rPr>
        <w:t xml:space="preserve">          </w:t>
      </w:r>
      <w:r>
        <w:rPr>
          <w:rFonts w:hint="eastAsia" w:ascii="方正仿宋_GBK" w:hAnsi="方正仿宋_GBK" w:eastAsia="方正仿宋_GBK" w:cs="方正仿宋_GBK"/>
          <w:snapToGrid w:val="0"/>
          <w:color w:val="auto"/>
          <w:kern w:val="21"/>
          <w:position w:val="2"/>
          <w:sz w:val="24"/>
          <w:szCs w:val="24"/>
          <w:highlight w:val="none"/>
        </w:rPr>
        <w:t>元)</w:t>
      </w:r>
      <w:r>
        <w:rPr>
          <w:rFonts w:hint="eastAsia" w:ascii="方正仿宋_GBK" w:hAnsi="方正仿宋_GBK" w:eastAsia="方正仿宋_GBK" w:cs="方正仿宋_GBK"/>
          <w:bCs/>
          <w:sz w:val="24"/>
          <w:szCs w:val="24"/>
          <w:highlight w:val="none"/>
        </w:rPr>
        <w:t>。</w:t>
      </w:r>
    </w:p>
    <w:p w14:paraId="12A550EC">
      <w:pPr>
        <w:keepNext w:val="0"/>
        <w:keepLines w:val="0"/>
        <w:pageBreakBefore w:val="0"/>
        <w:widowControl w:val="0"/>
        <w:kinsoku/>
        <w:wordWrap/>
        <w:overflowPunct/>
        <w:topLinePunct w:val="0"/>
        <w:autoSpaceDE/>
        <w:autoSpaceDN/>
        <w:bidi w:val="0"/>
        <w:adjustRightInd/>
        <w:snapToGrid/>
        <w:spacing w:line="240" w:lineRule="auto"/>
        <w:ind w:left="0" w:right="0" w:firstLine="480" w:firstLineChars="200"/>
        <w:jc w:val="both"/>
        <w:textAlignment w:val="auto"/>
        <w:rPr>
          <w:rFonts w:hint="eastAsia" w:ascii="方正仿宋_GBK" w:hAnsi="方正仿宋_GBK" w:eastAsia="方正仿宋_GBK" w:cs="方正仿宋_GBK"/>
          <w:bCs/>
          <w:sz w:val="24"/>
          <w:szCs w:val="24"/>
          <w:highlight w:val="none"/>
        </w:rPr>
      </w:pPr>
      <w:r>
        <w:rPr>
          <w:rFonts w:hint="eastAsia" w:ascii="方正仿宋_GBK" w:hAnsi="方正仿宋_GBK" w:eastAsia="方正仿宋_GBK" w:cs="方正仿宋_GBK"/>
          <w:bCs/>
          <w:sz w:val="24"/>
          <w:szCs w:val="24"/>
          <w:highlight w:val="none"/>
        </w:rPr>
        <w:t>2、合同到期后一次性结算。工作履行完毕后经甲方认可乙方养护质量达到约定标准且考核达标后方可结算，按照养护考核办法执行，表附后。</w:t>
      </w:r>
    </w:p>
    <w:p w14:paraId="2B51AE23">
      <w:pPr>
        <w:keepNext w:val="0"/>
        <w:keepLines w:val="0"/>
        <w:pageBreakBefore w:val="0"/>
        <w:widowControl w:val="0"/>
        <w:kinsoku/>
        <w:wordWrap/>
        <w:overflowPunct/>
        <w:topLinePunct w:val="0"/>
        <w:autoSpaceDE/>
        <w:autoSpaceDN/>
        <w:bidi w:val="0"/>
        <w:adjustRightInd/>
        <w:snapToGrid/>
        <w:spacing w:line="240" w:lineRule="auto"/>
        <w:ind w:left="0" w:right="0" w:firstLine="480" w:firstLineChars="200"/>
        <w:jc w:val="both"/>
        <w:textAlignment w:val="auto"/>
        <w:rPr>
          <w:rFonts w:hint="eastAsia" w:ascii="方正仿宋_GBK" w:hAnsi="方正仿宋_GBK" w:eastAsia="方正仿宋_GBK" w:cs="方正仿宋_GBK"/>
          <w:bCs/>
          <w:sz w:val="24"/>
          <w:szCs w:val="24"/>
          <w:highlight w:val="none"/>
        </w:rPr>
      </w:pPr>
      <w:r>
        <w:rPr>
          <w:rFonts w:hint="eastAsia" w:ascii="方正仿宋_GBK" w:hAnsi="方正仿宋_GBK" w:eastAsia="方正仿宋_GBK" w:cs="方正仿宋_GBK"/>
          <w:bCs/>
          <w:sz w:val="24"/>
          <w:szCs w:val="24"/>
          <w:highlight w:val="none"/>
        </w:rPr>
        <w:t>3、本合同价款采用</w:t>
      </w:r>
      <w:r>
        <w:rPr>
          <w:rFonts w:hint="eastAsia" w:ascii="方正仿宋_GBK" w:hAnsi="方正仿宋_GBK" w:eastAsia="方正仿宋_GBK" w:cs="方正仿宋_GBK"/>
          <w:bCs/>
          <w:sz w:val="24"/>
          <w:szCs w:val="24"/>
          <w:highlight w:val="none"/>
          <w:u w:val="single"/>
          <w:lang w:val="en-US" w:eastAsia="zh-CN"/>
        </w:rPr>
        <w:t>固定单价</w:t>
      </w:r>
      <w:r>
        <w:rPr>
          <w:rFonts w:hint="eastAsia" w:ascii="方正仿宋_GBK" w:hAnsi="方正仿宋_GBK" w:eastAsia="方正仿宋_GBK" w:cs="方正仿宋_GBK"/>
          <w:bCs/>
          <w:sz w:val="24"/>
          <w:szCs w:val="24"/>
          <w:highlight w:val="none"/>
        </w:rPr>
        <w:t>合同方式确定，乙方结算时需根据双方确认金额开取劳务含税发票。</w:t>
      </w:r>
    </w:p>
    <w:p w14:paraId="6CEE2FB9">
      <w:pPr>
        <w:keepNext w:val="0"/>
        <w:keepLines w:val="0"/>
        <w:pageBreakBefore w:val="0"/>
        <w:widowControl w:val="0"/>
        <w:kinsoku/>
        <w:wordWrap/>
        <w:overflowPunct/>
        <w:topLinePunct w:val="0"/>
        <w:autoSpaceDE/>
        <w:autoSpaceDN/>
        <w:bidi w:val="0"/>
        <w:adjustRightInd/>
        <w:snapToGrid/>
        <w:spacing w:line="240" w:lineRule="auto"/>
        <w:ind w:left="0" w:right="0" w:firstLine="480" w:firstLineChars="200"/>
        <w:jc w:val="both"/>
        <w:textAlignment w:val="auto"/>
        <w:rPr>
          <w:rFonts w:hint="eastAsia" w:ascii="方正仿宋_GBK" w:hAnsi="方正仿宋_GBK" w:eastAsia="方正仿宋_GBK" w:cs="方正仿宋_GBK"/>
          <w:bCs/>
          <w:sz w:val="24"/>
          <w:szCs w:val="24"/>
          <w:highlight w:val="none"/>
        </w:rPr>
      </w:pPr>
      <w:r>
        <w:rPr>
          <w:rFonts w:hint="eastAsia" w:ascii="方正仿宋_GBK" w:hAnsi="方正仿宋_GBK" w:eastAsia="方正仿宋_GBK" w:cs="方正仿宋_GBK"/>
          <w:bCs/>
          <w:sz w:val="24"/>
          <w:szCs w:val="24"/>
          <w:highlight w:val="none"/>
        </w:rPr>
        <w:t>4、付款方式：甲方通过银行转账汇入乙方账户。</w:t>
      </w:r>
    </w:p>
    <w:p w14:paraId="712807D1">
      <w:pPr>
        <w:keepNext w:val="0"/>
        <w:keepLines w:val="0"/>
        <w:pageBreakBefore w:val="0"/>
        <w:widowControl w:val="0"/>
        <w:tabs>
          <w:tab w:val="center" w:pos="4513"/>
        </w:tabs>
        <w:kinsoku/>
        <w:wordWrap/>
        <w:overflowPunct/>
        <w:topLinePunct w:val="0"/>
        <w:autoSpaceDE/>
        <w:autoSpaceDN/>
        <w:bidi w:val="0"/>
        <w:adjustRightInd/>
        <w:snapToGrid/>
        <w:spacing w:line="240" w:lineRule="auto"/>
        <w:ind w:left="0" w:right="0" w:firstLine="480" w:firstLineChars="200"/>
        <w:jc w:val="both"/>
        <w:textAlignment w:val="auto"/>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 xml:space="preserve">乙方账户名称： </w:t>
      </w:r>
    </w:p>
    <w:p w14:paraId="30C81184">
      <w:pPr>
        <w:keepNext w:val="0"/>
        <w:keepLines w:val="0"/>
        <w:pageBreakBefore w:val="0"/>
        <w:widowControl w:val="0"/>
        <w:tabs>
          <w:tab w:val="center" w:pos="4513"/>
        </w:tabs>
        <w:kinsoku/>
        <w:wordWrap/>
        <w:overflowPunct/>
        <w:topLinePunct w:val="0"/>
        <w:autoSpaceDE/>
        <w:autoSpaceDN/>
        <w:bidi w:val="0"/>
        <w:adjustRightInd/>
        <w:snapToGrid/>
        <w:spacing w:line="240" w:lineRule="auto"/>
        <w:ind w:left="0" w:right="0" w:firstLine="480" w:firstLineChars="200"/>
        <w:jc w:val="both"/>
        <w:textAlignment w:val="auto"/>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 xml:space="preserve">开户行： </w:t>
      </w:r>
    </w:p>
    <w:p w14:paraId="07B649F6">
      <w:pPr>
        <w:keepNext w:val="0"/>
        <w:keepLines w:val="0"/>
        <w:pageBreakBefore w:val="0"/>
        <w:widowControl w:val="0"/>
        <w:tabs>
          <w:tab w:val="center" w:pos="4513"/>
        </w:tabs>
        <w:kinsoku/>
        <w:wordWrap/>
        <w:overflowPunct/>
        <w:topLinePunct w:val="0"/>
        <w:autoSpaceDE/>
        <w:autoSpaceDN/>
        <w:bidi w:val="0"/>
        <w:adjustRightInd/>
        <w:snapToGrid/>
        <w:spacing w:line="240" w:lineRule="auto"/>
        <w:ind w:left="0" w:right="0" w:firstLine="480" w:firstLineChars="200"/>
        <w:jc w:val="both"/>
        <w:textAlignment w:val="auto"/>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 xml:space="preserve">账号： </w:t>
      </w:r>
    </w:p>
    <w:p w14:paraId="7CC6F6C9">
      <w:pPr>
        <w:keepNext w:val="0"/>
        <w:keepLines w:val="0"/>
        <w:pageBreakBefore w:val="0"/>
        <w:widowControl w:val="0"/>
        <w:tabs>
          <w:tab w:val="center" w:pos="4513"/>
        </w:tabs>
        <w:kinsoku/>
        <w:wordWrap/>
        <w:overflowPunct/>
        <w:topLinePunct w:val="0"/>
        <w:autoSpaceDE/>
        <w:autoSpaceDN/>
        <w:bidi w:val="0"/>
        <w:adjustRightInd/>
        <w:snapToGrid/>
        <w:spacing w:line="240" w:lineRule="auto"/>
        <w:ind w:left="0" w:right="0" w:firstLine="480" w:firstLineChars="200"/>
        <w:jc w:val="both"/>
        <w:textAlignment w:val="auto"/>
        <w:rPr>
          <w:rFonts w:hint="eastAsia" w:ascii="方正仿宋_GBK" w:hAnsi="方正仿宋_GBK" w:eastAsia="方正仿宋_GBK" w:cs="方正仿宋_GBK"/>
          <w:bCs/>
          <w:sz w:val="24"/>
          <w:szCs w:val="24"/>
          <w:highlight w:val="none"/>
          <w:lang w:val="en-US" w:eastAsia="zh-CN"/>
        </w:rPr>
      </w:pPr>
      <w:r>
        <w:rPr>
          <w:rFonts w:hint="eastAsia" w:ascii="方正仿宋_GBK" w:hAnsi="方正仿宋_GBK" w:eastAsia="方正仿宋_GBK" w:cs="方正仿宋_GBK"/>
          <w:sz w:val="24"/>
          <w:szCs w:val="24"/>
          <w:highlight w:val="none"/>
          <w:lang w:val="en-US" w:eastAsia="zh-CN"/>
        </w:rPr>
        <w:t>5、</w:t>
      </w:r>
      <w:r>
        <w:rPr>
          <w:rFonts w:hint="eastAsia" w:ascii="方正仿宋_GBK" w:hAnsi="方正仿宋_GBK" w:eastAsia="方正仿宋_GBK" w:cs="方正仿宋_GBK"/>
          <w:bCs/>
          <w:sz w:val="24"/>
          <w:szCs w:val="24"/>
          <w:highlight w:val="none"/>
          <w:lang w:val="en-US" w:eastAsia="zh-CN"/>
        </w:rPr>
        <w:t>本合同价款采用</w:t>
      </w:r>
      <w:r>
        <w:rPr>
          <w:rFonts w:hint="eastAsia" w:ascii="方正仿宋_GBK" w:hAnsi="方正仿宋_GBK" w:eastAsia="方正仿宋_GBK" w:cs="方正仿宋_GBK"/>
          <w:bCs/>
          <w:sz w:val="24"/>
          <w:szCs w:val="24"/>
          <w:highlight w:val="none"/>
          <w:u w:val="single"/>
          <w:lang w:val="en-US" w:eastAsia="zh-CN"/>
        </w:rPr>
        <w:t xml:space="preserve"> 固定单价 </w:t>
      </w:r>
      <w:r>
        <w:rPr>
          <w:rFonts w:hint="eastAsia" w:ascii="方正仿宋_GBK" w:hAnsi="方正仿宋_GBK" w:eastAsia="方正仿宋_GBK" w:cs="方正仿宋_GBK"/>
          <w:bCs/>
          <w:sz w:val="24"/>
          <w:szCs w:val="24"/>
          <w:highlight w:val="none"/>
          <w:lang w:val="en-US" w:eastAsia="zh-CN"/>
        </w:rPr>
        <w:t>结算方式，</w:t>
      </w:r>
      <w:r>
        <w:rPr>
          <w:rFonts w:hint="eastAsia" w:ascii="方正仿宋_GBK" w:hAnsi="方正仿宋_GBK" w:eastAsia="方正仿宋_GBK" w:cs="方正仿宋_GBK"/>
          <w:bCs/>
          <w:sz w:val="24"/>
          <w:szCs w:val="24"/>
          <w:highlight w:val="none"/>
        </w:rPr>
        <w:t>甲方对项目验收合格，经结算审计并取得</w:t>
      </w:r>
      <w:r>
        <w:rPr>
          <w:rFonts w:hint="eastAsia" w:ascii="方正仿宋_GBK" w:hAnsi="方正仿宋_GBK" w:eastAsia="方正仿宋_GBK" w:cs="方正仿宋_GBK"/>
          <w:bCs/>
          <w:sz w:val="24"/>
          <w:szCs w:val="24"/>
          <w:highlight w:val="none"/>
          <w:lang w:eastAsia="zh-CN"/>
        </w:rPr>
        <w:t>3%</w:t>
      </w:r>
      <w:r>
        <w:rPr>
          <w:rFonts w:hint="eastAsia" w:ascii="方正仿宋_GBK" w:hAnsi="方正仿宋_GBK" w:eastAsia="方正仿宋_GBK" w:cs="方正仿宋_GBK"/>
          <w:bCs/>
          <w:sz w:val="24"/>
          <w:szCs w:val="24"/>
          <w:highlight w:val="none"/>
        </w:rPr>
        <w:t>增值税专用发票后一个月内付清全款</w:t>
      </w:r>
      <w:r>
        <w:rPr>
          <w:rFonts w:hint="eastAsia" w:ascii="方正仿宋_GBK" w:hAnsi="方正仿宋_GBK" w:eastAsia="方正仿宋_GBK" w:cs="方正仿宋_GBK"/>
          <w:bCs/>
          <w:sz w:val="24"/>
          <w:szCs w:val="24"/>
          <w:highlight w:val="none"/>
          <w:lang w:eastAsia="zh-CN"/>
        </w:rPr>
        <w:t>。</w:t>
      </w:r>
    </w:p>
    <w:p w14:paraId="22FFE4AB">
      <w:pPr>
        <w:keepNext w:val="0"/>
        <w:keepLines w:val="0"/>
        <w:pageBreakBefore w:val="0"/>
        <w:widowControl w:val="0"/>
        <w:kinsoku/>
        <w:wordWrap/>
        <w:overflowPunct/>
        <w:topLinePunct w:val="0"/>
        <w:autoSpaceDE/>
        <w:autoSpaceDN/>
        <w:bidi w:val="0"/>
        <w:adjustRightInd/>
        <w:snapToGrid/>
        <w:spacing w:line="240" w:lineRule="auto"/>
        <w:ind w:left="0" w:right="0" w:firstLine="482" w:firstLineChars="200"/>
        <w:jc w:val="both"/>
        <w:textAlignment w:val="auto"/>
        <w:rPr>
          <w:rFonts w:hint="eastAsia" w:ascii="方正仿宋_GBK" w:hAnsi="方正仿宋_GBK" w:eastAsia="方正仿宋_GBK" w:cs="方正仿宋_GBK"/>
          <w:b/>
          <w:bCs/>
          <w:sz w:val="24"/>
          <w:szCs w:val="24"/>
          <w:highlight w:val="none"/>
        </w:rPr>
      </w:pPr>
      <w:r>
        <w:rPr>
          <w:rFonts w:hint="eastAsia" w:ascii="方正仿宋_GBK" w:hAnsi="方正仿宋_GBK" w:eastAsia="方正仿宋_GBK" w:cs="方正仿宋_GBK"/>
          <w:b/>
          <w:bCs/>
          <w:sz w:val="24"/>
          <w:szCs w:val="24"/>
          <w:highlight w:val="none"/>
        </w:rPr>
        <w:t>第七条、养护职责</w:t>
      </w:r>
    </w:p>
    <w:p w14:paraId="7E84FEA8">
      <w:pPr>
        <w:keepNext w:val="0"/>
        <w:keepLines w:val="0"/>
        <w:pageBreakBefore w:val="0"/>
        <w:widowControl w:val="0"/>
        <w:kinsoku/>
        <w:wordWrap/>
        <w:overflowPunct/>
        <w:topLinePunct w:val="0"/>
        <w:autoSpaceDE/>
        <w:autoSpaceDN/>
        <w:bidi w:val="0"/>
        <w:adjustRightInd/>
        <w:snapToGrid/>
        <w:spacing w:line="240" w:lineRule="auto"/>
        <w:ind w:left="0" w:right="0" w:firstLine="480" w:firstLineChars="200"/>
        <w:jc w:val="both"/>
        <w:textAlignment w:val="auto"/>
        <w:rPr>
          <w:rFonts w:hint="eastAsia" w:ascii="方正仿宋_GBK" w:hAnsi="方正仿宋_GBK" w:eastAsia="方正仿宋_GBK" w:cs="方正仿宋_GBK"/>
          <w:bCs/>
          <w:sz w:val="24"/>
          <w:szCs w:val="24"/>
          <w:highlight w:val="none"/>
        </w:rPr>
      </w:pPr>
      <w:r>
        <w:rPr>
          <w:rFonts w:hint="eastAsia" w:ascii="方正仿宋_GBK" w:hAnsi="方正仿宋_GBK" w:eastAsia="方正仿宋_GBK" w:cs="方正仿宋_GBK"/>
          <w:bCs/>
          <w:sz w:val="24"/>
          <w:szCs w:val="24"/>
          <w:highlight w:val="none"/>
        </w:rPr>
        <w:t>1．甲方指定</w:t>
      </w:r>
      <w:r>
        <w:rPr>
          <w:rFonts w:hint="eastAsia" w:ascii="方正仿宋_GBK" w:hAnsi="方正仿宋_GBK" w:eastAsia="方正仿宋_GBK" w:cs="方正仿宋_GBK"/>
          <w:bCs/>
          <w:sz w:val="24"/>
          <w:szCs w:val="24"/>
          <w:highlight w:val="none"/>
          <w:u w:val="single"/>
        </w:rPr>
        <w:t xml:space="preserve">       </w:t>
      </w:r>
      <w:r>
        <w:rPr>
          <w:rFonts w:hint="eastAsia" w:ascii="方正仿宋_GBK" w:hAnsi="方正仿宋_GBK" w:eastAsia="方正仿宋_GBK" w:cs="方正仿宋_GBK"/>
          <w:bCs/>
          <w:sz w:val="24"/>
          <w:szCs w:val="24"/>
          <w:highlight w:val="none"/>
        </w:rPr>
        <w:t>为甲方代表，代表甲方履行本合同权利、义务，甲方代表应按合同约定，及时向乙方提供所需指令、批准并履行约定的其他义务。甲方代表需同乙方代表列明养护范围或清单，双方进行现场确认。</w:t>
      </w:r>
    </w:p>
    <w:p w14:paraId="6BD08F22">
      <w:pPr>
        <w:keepNext w:val="0"/>
        <w:keepLines w:val="0"/>
        <w:pageBreakBefore w:val="0"/>
        <w:widowControl w:val="0"/>
        <w:kinsoku/>
        <w:wordWrap/>
        <w:overflowPunct/>
        <w:topLinePunct w:val="0"/>
        <w:autoSpaceDE/>
        <w:autoSpaceDN/>
        <w:bidi w:val="0"/>
        <w:adjustRightInd/>
        <w:snapToGrid/>
        <w:spacing w:line="240" w:lineRule="auto"/>
        <w:ind w:left="0" w:right="0" w:firstLine="480" w:firstLineChars="200"/>
        <w:jc w:val="both"/>
        <w:textAlignment w:val="auto"/>
        <w:rPr>
          <w:rFonts w:hint="eastAsia" w:ascii="方正仿宋_GBK" w:hAnsi="方正仿宋_GBK" w:eastAsia="方正仿宋_GBK" w:cs="方正仿宋_GBK"/>
          <w:bCs/>
          <w:sz w:val="24"/>
          <w:szCs w:val="24"/>
          <w:highlight w:val="none"/>
        </w:rPr>
      </w:pPr>
      <w:r>
        <w:rPr>
          <w:rFonts w:hint="eastAsia" w:ascii="方正仿宋_GBK" w:hAnsi="方正仿宋_GBK" w:eastAsia="方正仿宋_GBK" w:cs="方正仿宋_GBK"/>
          <w:bCs/>
          <w:sz w:val="24"/>
          <w:szCs w:val="24"/>
          <w:highlight w:val="none"/>
        </w:rPr>
        <w:t>2．乙方任命</w:t>
      </w:r>
      <w:r>
        <w:rPr>
          <w:rFonts w:hint="eastAsia" w:ascii="方正仿宋_GBK" w:hAnsi="方正仿宋_GBK" w:eastAsia="方正仿宋_GBK" w:cs="方正仿宋_GBK"/>
          <w:bCs/>
          <w:sz w:val="24"/>
          <w:szCs w:val="24"/>
          <w:highlight w:val="none"/>
          <w:u w:val="single"/>
        </w:rPr>
        <w:t xml:space="preserve">       </w:t>
      </w:r>
      <w:r>
        <w:rPr>
          <w:rFonts w:hint="eastAsia" w:ascii="方正仿宋_GBK" w:hAnsi="方正仿宋_GBK" w:eastAsia="方正仿宋_GBK" w:cs="方正仿宋_GBK"/>
          <w:bCs/>
          <w:sz w:val="24"/>
          <w:szCs w:val="24"/>
          <w:highlight w:val="none"/>
        </w:rPr>
        <w:t>为乙方代表，代表乙方履行本合同义务，乙方代表应按照本合同约定及甲方代表依据合同发出的指令组织养护工作。</w:t>
      </w:r>
    </w:p>
    <w:p w14:paraId="2429DE48">
      <w:pPr>
        <w:keepNext w:val="0"/>
        <w:keepLines w:val="0"/>
        <w:pageBreakBefore w:val="0"/>
        <w:widowControl w:val="0"/>
        <w:kinsoku/>
        <w:wordWrap/>
        <w:overflowPunct/>
        <w:topLinePunct w:val="0"/>
        <w:autoSpaceDE/>
        <w:autoSpaceDN/>
        <w:bidi w:val="0"/>
        <w:adjustRightInd/>
        <w:snapToGrid/>
        <w:spacing w:line="240" w:lineRule="auto"/>
        <w:ind w:left="0" w:right="0" w:firstLine="480" w:firstLineChars="200"/>
        <w:jc w:val="both"/>
        <w:textAlignment w:val="auto"/>
        <w:rPr>
          <w:rFonts w:hint="eastAsia" w:ascii="方正仿宋_GBK" w:hAnsi="方正仿宋_GBK" w:eastAsia="方正仿宋_GBK" w:cs="方正仿宋_GBK"/>
          <w:bCs/>
          <w:sz w:val="24"/>
          <w:szCs w:val="24"/>
          <w:highlight w:val="none"/>
        </w:rPr>
      </w:pPr>
      <w:r>
        <w:rPr>
          <w:rFonts w:hint="eastAsia" w:ascii="方正仿宋_GBK" w:hAnsi="方正仿宋_GBK" w:eastAsia="方正仿宋_GBK" w:cs="方正仿宋_GBK"/>
          <w:bCs/>
          <w:sz w:val="24"/>
          <w:szCs w:val="24"/>
          <w:highlight w:val="none"/>
        </w:rPr>
        <w:t>3．养护期限内，乙方应按照绿化养护操作规程及绿化养护质量标准（详见附件），合理组织，精心养护，保质保量完成养护管理任务。</w:t>
      </w:r>
    </w:p>
    <w:p w14:paraId="731E7C98">
      <w:pPr>
        <w:keepNext w:val="0"/>
        <w:keepLines w:val="0"/>
        <w:pageBreakBefore w:val="0"/>
        <w:widowControl w:val="0"/>
        <w:kinsoku/>
        <w:wordWrap/>
        <w:overflowPunct/>
        <w:topLinePunct w:val="0"/>
        <w:autoSpaceDE/>
        <w:autoSpaceDN/>
        <w:bidi w:val="0"/>
        <w:adjustRightInd/>
        <w:snapToGrid/>
        <w:spacing w:line="240" w:lineRule="auto"/>
        <w:ind w:left="0" w:right="0" w:firstLine="480" w:firstLineChars="200"/>
        <w:jc w:val="both"/>
        <w:textAlignment w:val="auto"/>
        <w:rPr>
          <w:rFonts w:hint="default" w:ascii="方正仿宋_GBK" w:hAnsi="方正仿宋_GBK" w:eastAsia="方正仿宋_GBK" w:cs="方正仿宋_GBK"/>
          <w:bCs/>
          <w:sz w:val="24"/>
          <w:szCs w:val="24"/>
          <w:highlight w:val="none"/>
          <w:lang w:val="en-US" w:eastAsia="zh-CN"/>
        </w:rPr>
      </w:pPr>
      <w:r>
        <w:rPr>
          <w:rFonts w:hint="eastAsia" w:ascii="方正仿宋_GBK" w:hAnsi="方正仿宋_GBK" w:eastAsia="方正仿宋_GBK" w:cs="方正仿宋_GBK"/>
          <w:bCs/>
          <w:sz w:val="24"/>
          <w:szCs w:val="24"/>
          <w:highlight w:val="none"/>
        </w:rPr>
        <w:t>4．为实施本合同养护项目所用的一切劳动力、材料设备、机械和</w:t>
      </w:r>
      <w:r>
        <w:rPr>
          <w:rFonts w:hint="eastAsia" w:ascii="方正仿宋_GBK" w:hAnsi="方正仿宋_GBK" w:eastAsia="方正仿宋_GBK" w:cs="方正仿宋_GBK"/>
          <w:bCs/>
          <w:sz w:val="24"/>
          <w:szCs w:val="24"/>
          <w:highlight w:val="none"/>
          <w:lang w:eastAsia="zh-CN"/>
        </w:rPr>
        <w:t>劳务分包</w:t>
      </w:r>
      <w:r>
        <w:rPr>
          <w:rFonts w:hint="eastAsia" w:ascii="方正仿宋_GBK" w:hAnsi="方正仿宋_GBK" w:eastAsia="方正仿宋_GBK" w:cs="方正仿宋_GBK"/>
          <w:bCs/>
          <w:sz w:val="24"/>
          <w:szCs w:val="24"/>
          <w:highlight w:val="none"/>
        </w:rPr>
        <w:t>由乙方自行组织，由此产生的一切费用由乙方承担。</w:t>
      </w:r>
      <w:r>
        <w:rPr>
          <w:rFonts w:hint="eastAsia" w:ascii="方正仿宋_GBK" w:hAnsi="方正仿宋_GBK" w:eastAsia="方正仿宋_GBK" w:cs="方正仿宋_GBK"/>
          <w:bCs/>
          <w:sz w:val="24"/>
          <w:szCs w:val="24"/>
          <w:highlight w:val="none"/>
          <w:lang w:val="en-US" w:eastAsia="zh-CN"/>
        </w:rPr>
        <w:t>乙方必须</w:t>
      </w:r>
      <w:r>
        <w:rPr>
          <w:rFonts w:hint="eastAsia" w:ascii="方正仿宋_GBK" w:hAnsi="方正仿宋_GBK" w:eastAsia="方正仿宋_GBK" w:cs="方正仿宋_GBK"/>
          <w:color w:val="000000"/>
          <w:sz w:val="24"/>
          <w:szCs w:val="24"/>
          <w:highlight w:val="none"/>
          <w:lang w:val="en-US" w:eastAsia="zh-CN"/>
        </w:rPr>
        <w:t>使用符合国标及项目所在地现行有效标准的新能源动力机械及车辆，车辆具有交管部门签发的机动车上路资质。</w:t>
      </w:r>
    </w:p>
    <w:p w14:paraId="63489E66">
      <w:pPr>
        <w:keepNext w:val="0"/>
        <w:keepLines w:val="0"/>
        <w:pageBreakBefore w:val="0"/>
        <w:widowControl w:val="0"/>
        <w:kinsoku/>
        <w:wordWrap/>
        <w:overflowPunct/>
        <w:topLinePunct w:val="0"/>
        <w:autoSpaceDE/>
        <w:autoSpaceDN/>
        <w:bidi w:val="0"/>
        <w:adjustRightInd/>
        <w:snapToGrid/>
        <w:spacing w:line="240" w:lineRule="auto"/>
        <w:ind w:left="0" w:right="0" w:firstLine="480" w:firstLineChars="200"/>
        <w:jc w:val="both"/>
        <w:textAlignment w:val="auto"/>
        <w:rPr>
          <w:rFonts w:hint="eastAsia" w:ascii="方正仿宋_GBK" w:hAnsi="方正仿宋_GBK" w:eastAsia="方正仿宋_GBK" w:cs="方正仿宋_GBK"/>
          <w:bCs/>
          <w:sz w:val="24"/>
          <w:szCs w:val="24"/>
          <w:highlight w:val="none"/>
        </w:rPr>
      </w:pPr>
      <w:r>
        <w:rPr>
          <w:rFonts w:hint="eastAsia" w:ascii="方正仿宋_GBK" w:hAnsi="方正仿宋_GBK" w:eastAsia="方正仿宋_GBK" w:cs="方正仿宋_GBK"/>
          <w:bCs/>
          <w:sz w:val="24"/>
          <w:szCs w:val="24"/>
          <w:highlight w:val="none"/>
        </w:rPr>
        <w:t>5．</w:t>
      </w:r>
      <w:r>
        <w:rPr>
          <w:rFonts w:hint="eastAsia" w:ascii="方正仿宋_GBK" w:hAnsi="方正仿宋_GBK" w:eastAsia="方正仿宋_GBK" w:cs="方正仿宋_GBK"/>
          <w:sz w:val="24"/>
          <w:szCs w:val="24"/>
          <w:highlight w:val="none"/>
        </w:rPr>
        <w:t>乙方承诺其负责的养护期内，苗木成活率达到100%，养护范围内的绿化死亡、损伤的苗木，由乙方负责采购并补植到位</w:t>
      </w:r>
      <w:r>
        <w:rPr>
          <w:rFonts w:hint="eastAsia" w:ascii="方正仿宋_GBK" w:hAnsi="方正仿宋_GBK" w:eastAsia="方正仿宋_GBK" w:cs="方正仿宋_GBK"/>
          <w:sz w:val="24"/>
          <w:szCs w:val="24"/>
          <w:highlight w:val="none"/>
          <w:lang w:eastAsia="zh-CN"/>
        </w:rPr>
        <w:t>，</w:t>
      </w:r>
      <w:r>
        <w:rPr>
          <w:rFonts w:hint="eastAsia" w:ascii="方正仿宋_GBK" w:hAnsi="方正仿宋_GBK" w:eastAsia="方正仿宋_GBK" w:cs="方正仿宋_GBK"/>
          <w:sz w:val="24"/>
          <w:szCs w:val="24"/>
          <w:highlight w:val="none"/>
        </w:rPr>
        <w:t>所有相关费用由乙方承担。</w:t>
      </w:r>
      <w:r>
        <w:rPr>
          <w:rFonts w:hint="eastAsia" w:ascii="方正仿宋_GBK" w:hAnsi="方正仿宋_GBK" w:eastAsia="方正仿宋_GBK" w:cs="方正仿宋_GBK"/>
          <w:bCs/>
          <w:sz w:val="24"/>
          <w:szCs w:val="24"/>
          <w:highlight w:val="none"/>
        </w:rPr>
        <w:t xml:space="preserve"> </w:t>
      </w:r>
    </w:p>
    <w:p w14:paraId="1753F32B">
      <w:pPr>
        <w:keepNext w:val="0"/>
        <w:keepLines w:val="0"/>
        <w:pageBreakBefore w:val="0"/>
        <w:widowControl w:val="0"/>
        <w:kinsoku/>
        <w:wordWrap/>
        <w:overflowPunct/>
        <w:topLinePunct w:val="0"/>
        <w:autoSpaceDE/>
        <w:autoSpaceDN/>
        <w:bidi w:val="0"/>
        <w:adjustRightInd/>
        <w:snapToGrid/>
        <w:spacing w:line="240" w:lineRule="auto"/>
        <w:ind w:left="0" w:right="0" w:firstLine="480" w:firstLineChars="200"/>
        <w:jc w:val="both"/>
        <w:textAlignment w:val="auto"/>
        <w:rPr>
          <w:rFonts w:hint="eastAsia" w:ascii="方正仿宋_GBK" w:hAnsi="方正仿宋_GBK" w:eastAsia="方正仿宋_GBK" w:cs="方正仿宋_GBK"/>
          <w:bCs/>
          <w:sz w:val="24"/>
          <w:szCs w:val="24"/>
          <w:highlight w:val="none"/>
        </w:rPr>
      </w:pPr>
      <w:r>
        <w:rPr>
          <w:rFonts w:hint="eastAsia" w:ascii="方正仿宋_GBK" w:hAnsi="方正仿宋_GBK" w:eastAsia="方正仿宋_GBK" w:cs="方正仿宋_GBK"/>
          <w:bCs/>
          <w:sz w:val="24"/>
          <w:szCs w:val="24"/>
          <w:highlight w:val="none"/>
        </w:rPr>
        <w:t>6．养护期限内，本合同养护项目中的苗木及相关设施发生缺失及损毁的，乙方应及时补齐或修复，并自行承担所需费用。合同期限届满时，乙方应保证合同养护项目苗木及相关设施完好无损。届时，若乙方未补齐或修复的，甲方可自行或委托他人补齐或修复，费用由乙方负责。</w:t>
      </w:r>
    </w:p>
    <w:p w14:paraId="52BF2FC4">
      <w:pPr>
        <w:keepNext w:val="0"/>
        <w:keepLines w:val="0"/>
        <w:pageBreakBefore w:val="0"/>
        <w:widowControl w:val="0"/>
        <w:kinsoku/>
        <w:wordWrap/>
        <w:overflowPunct/>
        <w:topLinePunct w:val="0"/>
        <w:autoSpaceDE/>
        <w:autoSpaceDN/>
        <w:bidi w:val="0"/>
        <w:adjustRightInd/>
        <w:snapToGrid/>
        <w:spacing w:line="240" w:lineRule="auto"/>
        <w:ind w:left="0" w:right="0" w:firstLine="480" w:firstLineChars="200"/>
        <w:jc w:val="both"/>
        <w:textAlignment w:val="auto"/>
        <w:rPr>
          <w:rFonts w:hint="eastAsia" w:ascii="方正仿宋_GBK" w:hAnsi="方正仿宋_GBK" w:eastAsia="方正仿宋_GBK" w:cs="方正仿宋_GBK"/>
          <w:bCs/>
          <w:sz w:val="24"/>
          <w:szCs w:val="24"/>
          <w:highlight w:val="none"/>
        </w:rPr>
      </w:pPr>
      <w:r>
        <w:rPr>
          <w:rFonts w:hint="eastAsia" w:ascii="方正仿宋_GBK" w:hAnsi="方正仿宋_GBK" w:eastAsia="方正仿宋_GBK" w:cs="方正仿宋_GBK"/>
          <w:bCs/>
          <w:sz w:val="24"/>
          <w:szCs w:val="24"/>
          <w:highlight w:val="none"/>
        </w:rPr>
        <w:t>7．乙方必须重视安全生产，确保养护期内不出安全责任事故。养护期间，一切安全责任及损失由乙方自行承担，甲方不承担任何责任。</w:t>
      </w:r>
    </w:p>
    <w:p w14:paraId="44EF4FFA">
      <w:pPr>
        <w:keepNext w:val="0"/>
        <w:keepLines w:val="0"/>
        <w:pageBreakBefore w:val="0"/>
        <w:widowControl w:val="0"/>
        <w:kinsoku/>
        <w:wordWrap/>
        <w:overflowPunct/>
        <w:topLinePunct w:val="0"/>
        <w:autoSpaceDE/>
        <w:autoSpaceDN/>
        <w:bidi w:val="0"/>
        <w:adjustRightInd/>
        <w:snapToGrid/>
        <w:spacing w:line="240" w:lineRule="auto"/>
        <w:ind w:left="0" w:right="0" w:firstLine="480" w:firstLineChars="200"/>
        <w:jc w:val="both"/>
        <w:textAlignment w:val="auto"/>
        <w:rPr>
          <w:rFonts w:hint="eastAsia" w:ascii="方正仿宋_GBK" w:hAnsi="方正仿宋_GBK" w:eastAsia="方正仿宋_GBK" w:cs="方正仿宋_GBK"/>
          <w:bCs/>
          <w:sz w:val="24"/>
          <w:szCs w:val="24"/>
          <w:highlight w:val="none"/>
        </w:rPr>
      </w:pPr>
      <w:r>
        <w:rPr>
          <w:rFonts w:hint="eastAsia" w:ascii="方正仿宋_GBK" w:hAnsi="方正仿宋_GBK" w:eastAsia="方正仿宋_GBK" w:cs="方正仿宋_GBK"/>
          <w:bCs/>
          <w:sz w:val="24"/>
          <w:szCs w:val="24"/>
          <w:highlight w:val="none"/>
        </w:rPr>
        <w:t>8．如遇突击性工作时，对养护期内的花木有特殊要求的，乙方应予以支持及配合。</w:t>
      </w:r>
    </w:p>
    <w:p w14:paraId="46AE37C8">
      <w:pPr>
        <w:keepNext w:val="0"/>
        <w:keepLines w:val="0"/>
        <w:pageBreakBefore w:val="0"/>
        <w:widowControl w:val="0"/>
        <w:kinsoku/>
        <w:wordWrap/>
        <w:overflowPunct/>
        <w:topLinePunct w:val="0"/>
        <w:autoSpaceDE/>
        <w:autoSpaceDN/>
        <w:bidi w:val="0"/>
        <w:adjustRightInd/>
        <w:snapToGrid/>
        <w:spacing w:line="240" w:lineRule="auto"/>
        <w:ind w:left="0" w:right="0" w:firstLine="480" w:firstLineChars="200"/>
        <w:jc w:val="both"/>
        <w:textAlignment w:val="auto"/>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9、 未经甲方许可，乙方不得中途停工或退场，否则甲方将有权解除合同及不予办理相关付款手续，并保留继续追究乙方法律责任的权利。</w:t>
      </w:r>
    </w:p>
    <w:p w14:paraId="77FCF481">
      <w:pPr>
        <w:keepNext w:val="0"/>
        <w:keepLines w:val="0"/>
        <w:pageBreakBefore w:val="0"/>
        <w:widowControl w:val="0"/>
        <w:kinsoku/>
        <w:wordWrap/>
        <w:overflowPunct/>
        <w:topLinePunct w:val="0"/>
        <w:autoSpaceDE/>
        <w:autoSpaceDN/>
        <w:bidi w:val="0"/>
        <w:adjustRightInd/>
        <w:snapToGrid/>
        <w:spacing w:line="240" w:lineRule="auto"/>
        <w:ind w:left="0" w:right="0" w:firstLine="480" w:firstLineChars="200"/>
        <w:jc w:val="both"/>
        <w:textAlignment w:val="auto"/>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10、养护期间内，若乙方养护标准未能达到甲方要求，甲方有权立即解除合同，已产生所有相关费用由乙方自行承担，甲方可拒付前期的养护期间的劳务费。</w:t>
      </w:r>
    </w:p>
    <w:p w14:paraId="6A95CFD6">
      <w:pPr>
        <w:keepNext w:val="0"/>
        <w:keepLines w:val="0"/>
        <w:pageBreakBefore w:val="0"/>
        <w:widowControl w:val="0"/>
        <w:kinsoku/>
        <w:wordWrap/>
        <w:overflowPunct/>
        <w:topLinePunct w:val="0"/>
        <w:autoSpaceDE/>
        <w:autoSpaceDN/>
        <w:bidi w:val="0"/>
        <w:adjustRightInd/>
        <w:snapToGrid/>
        <w:spacing w:line="240" w:lineRule="auto"/>
        <w:ind w:left="0" w:right="0" w:firstLine="480" w:firstLineChars="200"/>
        <w:jc w:val="both"/>
        <w:textAlignment w:val="auto"/>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11、 养护过程中，若建设方提出移交工程项目，乙方将无条件服从甲方要求，停止养护，费用按实结算（结算方式按合同价/十二个月，每月平均价*实际养护时间）。</w:t>
      </w:r>
    </w:p>
    <w:p w14:paraId="4099B695">
      <w:pPr>
        <w:keepNext w:val="0"/>
        <w:keepLines w:val="0"/>
        <w:pageBreakBefore w:val="0"/>
        <w:widowControl w:val="0"/>
        <w:kinsoku/>
        <w:wordWrap/>
        <w:overflowPunct/>
        <w:topLinePunct w:val="0"/>
        <w:autoSpaceDE/>
        <w:autoSpaceDN/>
        <w:bidi w:val="0"/>
        <w:adjustRightInd/>
        <w:snapToGrid/>
        <w:spacing w:line="240" w:lineRule="auto"/>
        <w:ind w:left="0" w:right="0" w:firstLine="482" w:firstLineChars="200"/>
        <w:jc w:val="both"/>
        <w:textAlignment w:val="auto"/>
        <w:rPr>
          <w:rFonts w:hint="eastAsia" w:ascii="方正仿宋_GBK" w:hAnsi="方正仿宋_GBK" w:eastAsia="方正仿宋_GBK" w:cs="方正仿宋_GBK"/>
          <w:b/>
          <w:sz w:val="24"/>
          <w:szCs w:val="24"/>
          <w:highlight w:val="none"/>
        </w:rPr>
      </w:pPr>
      <w:r>
        <w:rPr>
          <w:rFonts w:hint="eastAsia" w:ascii="方正仿宋_GBK" w:hAnsi="方正仿宋_GBK" w:eastAsia="方正仿宋_GBK" w:cs="方正仿宋_GBK"/>
          <w:b/>
          <w:sz w:val="24"/>
          <w:szCs w:val="24"/>
          <w:highlight w:val="none"/>
        </w:rPr>
        <w:t>第八条、养护考核</w:t>
      </w:r>
    </w:p>
    <w:p w14:paraId="131A73C6">
      <w:pPr>
        <w:keepNext w:val="0"/>
        <w:keepLines w:val="0"/>
        <w:pageBreakBefore w:val="0"/>
        <w:widowControl w:val="0"/>
        <w:numPr>
          <w:ilvl w:val="0"/>
          <w:numId w:val="7"/>
        </w:numPr>
        <w:kinsoku/>
        <w:wordWrap/>
        <w:overflowPunct/>
        <w:topLinePunct w:val="0"/>
        <w:autoSpaceDE/>
        <w:autoSpaceDN/>
        <w:bidi w:val="0"/>
        <w:adjustRightInd/>
        <w:snapToGrid/>
        <w:spacing w:line="240" w:lineRule="auto"/>
        <w:ind w:left="0" w:right="0" w:firstLine="480" w:firstLineChars="200"/>
        <w:jc w:val="both"/>
        <w:textAlignment w:val="auto"/>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乙方应认真按照绿化养护的标准、规范、本合同的要求及甲方代表人依据本合同发出的指令进行养护，随时接受甲方的检查和考核。</w:t>
      </w:r>
    </w:p>
    <w:p w14:paraId="637B5AB7">
      <w:pPr>
        <w:keepNext w:val="0"/>
        <w:keepLines w:val="0"/>
        <w:pageBreakBefore w:val="0"/>
        <w:widowControl w:val="0"/>
        <w:numPr>
          <w:ilvl w:val="0"/>
          <w:numId w:val="7"/>
        </w:numPr>
        <w:kinsoku/>
        <w:wordWrap/>
        <w:overflowPunct/>
        <w:topLinePunct w:val="0"/>
        <w:autoSpaceDE/>
        <w:autoSpaceDN/>
        <w:bidi w:val="0"/>
        <w:adjustRightInd/>
        <w:snapToGrid/>
        <w:spacing w:line="240" w:lineRule="auto"/>
        <w:ind w:left="0" w:right="0" w:firstLine="480" w:firstLineChars="200"/>
        <w:jc w:val="both"/>
        <w:textAlignment w:val="auto"/>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甲方可按照合同约定的时间、标准进行随机检查和定期考核（考核细则详见附件），发现养护质量达不到约定标准的部分，甲方要求乙方采取补种、更换、重做、修复等一切补救措施，直到符合约定标准。因乙方原因达不到约定标准，由乙方自行承担因此而产生的一切费用。</w:t>
      </w:r>
    </w:p>
    <w:p w14:paraId="62831A84">
      <w:pPr>
        <w:keepNext w:val="0"/>
        <w:keepLines w:val="0"/>
        <w:pageBreakBefore w:val="0"/>
        <w:widowControl w:val="0"/>
        <w:kinsoku/>
        <w:wordWrap/>
        <w:overflowPunct/>
        <w:topLinePunct w:val="0"/>
        <w:autoSpaceDE/>
        <w:autoSpaceDN/>
        <w:bidi w:val="0"/>
        <w:adjustRightInd/>
        <w:snapToGrid/>
        <w:spacing w:line="240" w:lineRule="auto"/>
        <w:ind w:left="0" w:right="0" w:firstLine="482" w:firstLineChars="200"/>
        <w:jc w:val="both"/>
        <w:textAlignment w:val="auto"/>
        <w:rPr>
          <w:rFonts w:hint="eastAsia" w:ascii="方正仿宋_GBK" w:hAnsi="方正仿宋_GBK" w:eastAsia="方正仿宋_GBK" w:cs="方正仿宋_GBK"/>
          <w:b/>
          <w:bCs/>
          <w:sz w:val="24"/>
          <w:szCs w:val="24"/>
          <w:highlight w:val="none"/>
        </w:rPr>
      </w:pPr>
      <w:r>
        <w:rPr>
          <w:rFonts w:hint="eastAsia" w:ascii="方正仿宋_GBK" w:hAnsi="方正仿宋_GBK" w:eastAsia="方正仿宋_GBK" w:cs="方正仿宋_GBK"/>
          <w:b/>
          <w:bCs/>
          <w:sz w:val="24"/>
          <w:szCs w:val="24"/>
          <w:highlight w:val="none"/>
        </w:rPr>
        <w:t>第九条、其他事项</w:t>
      </w:r>
    </w:p>
    <w:p w14:paraId="347069E5">
      <w:pPr>
        <w:keepNext w:val="0"/>
        <w:keepLines w:val="0"/>
        <w:pageBreakBefore w:val="0"/>
        <w:widowControl w:val="0"/>
        <w:kinsoku/>
        <w:wordWrap/>
        <w:overflowPunct/>
        <w:topLinePunct w:val="0"/>
        <w:autoSpaceDE/>
        <w:autoSpaceDN/>
        <w:bidi w:val="0"/>
        <w:adjustRightInd/>
        <w:snapToGrid/>
        <w:spacing w:line="240" w:lineRule="auto"/>
        <w:ind w:left="0" w:right="0" w:firstLine="480" w:firstLineChars="200"/>
        <w:jc w:val="both"/>
        <w:textAlignment w:val="auto"/>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1、严禁甲方人员以任何方式明、暗示乙方请吃、请喝、收受乙方礼金、礼品或接受乙方提供的其他私人便利或利益。如甲方人员明示或暗示要求宴请、招待，或索取礼金、礼品、礼券、其他利益，或故意刁难、显失公平，乙方可以向甲方监察部门进行举报。</w:t>
      </w:r>
    </w:p>
    <w:p w14:paraId="1DCF8819">
      <w:pPr>
        <w:keepNext w:val="0"/>
        <w:keepLines w:val="0"/>
        <w:pageBreakBefore w:val="0"/>
        <w:widowControl w:val="0"/>
        <w:kinsoku/>
        <w:wordWrap/>
        <w:overflowPunct/>
        <w:topLinePunct w:val="0"/>
        <w:autoSpaceDE/>
        <w:autoSpaceDN/>
        <w:bidi w:val="0"/>
        <w:adjustRightInd/>
        <w:snapToGrid/>
        <w:spacing w:line="240" w:lineRule="auto"/>
        <w:ind w:left="0" w:right="0" w:firstLine="480" w:firstLineChars="200"/>
        <w:jc w:val="both"/>
        <w:textAlignment w:val="auto"/>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2、严禁乙方以任何方式向甲方人员提供私人便利、行贿或进行非正常商务宴请。如果出现乙方在履约过程中进行私下请吃、向甲方人员提供私人便利、行贿等一切非正常的经济活动、一经查实，甲方有权单方解除合同，且乙方须承担由此导致的工期延误、退场损失等一切经济后果，甲乙双方此前签署的关于顺延工期、增加价款的签证均告无效，行为严重者，甲方保留追究乙方法律责任的权利；如果乙方事后主动积极向甲方陈述事实，或乙方有证据显示以上行为为甲方人员施压的不得已行为，则乙方仍可保留与上述行为相关的合同的权利和义务。</w:t>
      </w:r>
    </w:p>
    <w:p w14:paraId="46C047D0">
      <w:pPr>
        <w:keepNext w:val="0"/>
        <w:keepLines w:val="0"/>
        <w:pageBreakBefore w:val="0"/>
        <w:widowControl w:val="0"/>
        <w:kinsoku/>
        <w:wordWrap/>
        <w:overflowPunct/>
        <w:topLinePunct w:val="0"/>
        <w:autoSpaceDE/>
        <w:autoSpaceDN/>
        <w:bidi w:val="0"/>
        <w:adjustRightInd/>
        <w:snapToGrid/>
        <w:spacing w:line="240" w:lineRule="auto"/>
        <w:ind w:left="0" w:right="0" w:firstLine="480" w:firstLineChars="200"/>
        <w:jc w:val="both"/>
        <w:textAlignment w:val="auto"/>
        <w:rPr>
          <w:rFonts w:hint="eastAsia" w:ascii="方正仿宋_GBK" w:hAnsi="方正仿宋_GBK" w:eastAsia="方正仿宋_GBK" w:cs="方正仿宋_GBK"/>
          <w:b/>
          <w:i/>
          <w:sz w:val="24"/>
          <w:szCs w:val="24"/>
          <w:highlight w:val="none"/>
          <w:u w:val="single"/>
        </w:rPr>
      </w:pPr>
      <w:r>
        <w:rPr>
          <w:rFonts w:hint="eastAsia" w:ascii="方正仿宋_GBK" w:hAnsi="方正仿宋_GBK" w:eastAsia="方正仿宋_GBK" w:cs="方正仿宋_GBK"/>
          <w:sz w:val="24"/>
          <w:szCs w:val="24"/>
          <w:highlight w:val="none"/>
        </w:rPr>
        <w:t>3、合同任何一方当事人应做好合同单价及与合同有关的任何图纸、文件、资料等信息的保密工作，如发现有第三方盗用或滥用另一方保密信息的，应及时通知另一方当事人。乙方未经甲方书面允许，不论是在合同执行前、执行期间或者执行完毕，均不得将以上信息泄露给第三方，否则一经核实，甲方有权单方解除合同，并提请司法机关处理，因此造成的经济损失由乙方自行承担。</w:t>
      </w:r>
    </w:p>
    <w:p w14:paraId="668AAAD5">
      <w:pPr>
        <w:keepNext w:val="0"/>
        <w:keepLines w:val="0"/>
        <w:pageBreakBefore w:val="0"/>
        <w:widowControl w:val="0"/>
        <w:tabs>
          <w:tab w:val="left" w:pos="540"/>
          <w:tab w:val="left" w:pos="980"/>
        </w:tabs>
        <w:kinsoku/>
        <w:wordWrap/>
        <w:overflowPunct/>
        <w:topLinePunct w:val="0"/>
        <w:autoSpaceDE/>
        <w:autoSpaceDN/>
        <w:bidi w:val="0"/>
        <w:adjustRightInd/>
        <w:snapToGrid/>
        <w:spacing w:line="240" w:lineRule="auto"/>
        <w:ind w:left="0" w:right="0" w:firstLine="480" w:firstLineChars="200"/>
        <w:jc w:val="both"/>
        <w:textAlignment w:val="auto"/>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4、如在合同履行过程中发生争执，双方可友好协商解决；协商不成时，双方约定可向本工程所在地人民法院提起诉讼。</w:t>
      </w:r>
    </w:p>
    <w:p w14:paraId="6F4727E3">
      <w:pPr>
        <w:keepNext w:val="0"/>
        <w:keepLines w:val="0"/>
        <w:pageBreakBefore w:val="0"/>
        <w:widowControl w:val="0"/>
        <w:kinsoku/>
        <w:wordWrap/>
        <w:overflowPunct/>
        <w:topLinePunct w:val="0"/>
        <w:autoSpaceDE/>
        <w:autoSpaceDN/>
        <w:bidi w:val="0"/>
        <w:adjustRightInd/>
        <w:snapToGrid/>
        <w:spacing w:line="240" w:lineRule="auto"/>
        <w:ind w:left="0" w:right="0" w:firstLine="480" w:firstLineChars="200"/>
        <w:jc w:val="both"/>
        <w:textAlignment w:val="auto"/>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5、本合同自双方签字盖章后生效，如有未尽事宜，甲乙双方另行协商，签订补充合同。</w:t>
      </w:r>
    </w:p>
    <w:p w14:paraId="2BF91873">
      <w:pPr>
        <w:keepNext w:val="0"/>
        <w:keepLines w:val="0"/>
        <w:pageBreakBefore w:val="0"/>
        <w:widowControl w:val="0"/>
        <w:kinsoku/>
        <w:wordWrap/>
        <w:overflowPunct/>
        <w:topLinePunct w:val="0"/>
        <w:autoSpaceDE/>
        <w:autoSpaceDN/>
        <w:bidi w:val="0"/>
        <w:adjustRightInd/>
        <w:snapToGrid/>
        <w:spacing w:line="240" w:lineRule="auto"/>
        <w:ind w:left="0" w:right="0" w:firstLine="480" w:firstLineChars="200"/>
        <w:jc w:val="both"/>
        <w:textAlignment w:val="auto"/>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6、本合同</w:t>
      </w:r>
      <w:r>
        <w:rPr>
          <w:rFonts w:hint="eastAsia" w:ascii="方正仿宋_GBK" w:hAnsi="方正仿宋_GBK" w:eastAsia="方正仿宋_GBK" w:cs="方正仿宋_GBK"/>
          <w:sz w:val="24"/>
          <w:szCs w:val="24"/>
          <w:highlight w:val="none"/>
          <w:lang w:val="en-US" w:eastAsia="zh-CN"/>
        </w:rPr>
        <w:t>一</w:t>
      </w:r>
      <w:r>
        <w:rPr>
          <w:rFonts w:hint="eastAsia" w:ascii="方正仿宋_GBK" w:hAnsi="方正仿宋_GBK" w:eastAsia="方正仿宋_GBK" w:cs="方正仿宋_GBK"/>
          <w:sz w:val="24"/>
          <w:szCs w:val="24"/>
          <w:highlight w:val="none"/>
        </w:rPr>
        <w:t>式肆份，甲方执贰份，乙方执贰份，每份均具有同等法律效力。</w:t>
      </w:r>
    </w:p>
    <w:p w14:paraId="5DE4ADD3">
      <w:pPr>
        <w:keepNext w:val="0"/>
        <w:keepLines w:val="0"/>
        <w:pageBreakBefore w:val="0"/>
        <w:widowControl w:val="0"/>
        <w:kinsoku/>
        <w:wordWrap/>
        <w:overflowPunct/>
        <w:topLinePunct w:val="0"/>
        <w:autoSpaceDE/>
        <w:autoSpaceDN/>
        <w:bidi w:val="0"/>
        <w:adjustRightInd/>
        <w:snapToGrid/>
        <w:spacing w:line="240" w:lineRule="auto"/>
        <w:ind w:right="26" w:firstLine="480" w:firstLineChars="200"/>
        <w:jc w:val="both"/>
        <w:textAlignment w:val="auto"/>
        <w:rPr>
          <w:rFonts w:hint="eastAsia" w:ascii="方正仿宋_GBK" w:hAnsi="方正仿宋_GBK" w:eastAsia="方正仿宋_GBK" w:cs="方正仿宋_GBK"/>
          <w:sz w:val="24"/>
          <w:szCs w:val="24"/>
          <w:highlight w:val="none"/>
        </w:rPr>
      </w:pPr>
    </w:p>
    <w:p w14:paraId="0605357A">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方正仿宋_GBK" w:hAnsi="方正仿宋_GBK" w:eastAsia="方正仿宋_GBK" w:cs="方正仿宋_GBK"/>
          <w:b w:val="0"/>
          <w:bCs/>
          <w:sz w:val="24"/>
          <w:szCs w:val="24"/>
          <w:highlight w:val="none"/>
        </w:rPr>
      </w:pPr>
      <w:r>
        <w:rPr>
          <w:rFonts w:hint="eastAsia" w:ascii="方正仿宋_GBK" w:hAnsi="方正仿宋_GBK" w:eastAsia="方正仿宋_GBK" w:cs="方正仿宋_GBK"/>
          <w:b w:val="0"/>
          <w:bCs/>
          <w:sz w:val="24"/>
          <w:szCs w:val="24"/>
          <w:highlight w:val="none"/>
        </w:rPr>
        <w:t>甲方</w:t>
      </w:r>
      <w:r>
        <w:rPr>
          <w:rFonts w:hint="eastAsia" w:ascii="方正仿宋_GBK" w:hAnsi="方正仿宋_GBK" w:eastAsia="方正仿宋_GBK" w:cs="方正仿宋_GBK"/>
          <w:b w:val="0"/>
          <w:bCs/>
          <w:sz w:val="24"/>
          <w:szCs w:val="24"/>
          <w:highlight w:val="none"/>
          <w:lang w:eastAsia="zh-CN"/>
        </w:rPr>
        <w:t>（</w:t>
      </w:r>
      <w:r>
        <w:rPr>
          <w:rFonts w:hint="eastAsia" w:ascii="方正仿宋_GBK" w:hAnsi="方正仿宋_GBK" w:eastAsia="方正仿宋_GBK" w:cs="方正仿宋_GBK"/>
          <w:b w:val="0"/>
          <w:bCs/>
          <w:sz w:val="24"/>
          <w:szCs w:val="24"/>
          <w:highlight w:val="none"/>
        </w:rPr>
        <w:t>盖章</w:t>
      </w:r>
      <w:r>
        <w:rPr>
          <w:rFonts w:hint="eastAsia" w:ascii="方正仿宋_GBK" w:hAnsi="方正仿宋_GBK" w:eastAsia="方正仿宋_GBK" w:cs="方正仿宋_GBK"/>
          <w:b w:val="0"/>
          <w:bCs/>
          <w:sz w:val="24"/>
          <w:szCs w:val="24"/>
          <w:highlight w:val="none"/>
          <w:lang w:eastAsia="zh-CN"/>
        </w:rPr>
        <w:t>）</w:t>
      </w:r>
      <w:r>
        <w:rPr>
          <w:rFonts w:hint="eastAsia" w:ascii="方正仿宋_GBK" w:hAnsi="方正仿宋_GBK" w:eastAsia="方正仿宋_GBK" w:cs="方正仿宋_GBK"/>
          <w:b w:val="0"/>
          <w:bCs/>
          <w:sz w:val="24"/>
          <w:szCs w:val="24"/>
          <w:highlight w:val="none"/>
        </w:rPr>
        <w:t>：                         乙方</w:t>
      </w:r>
      <w:r>
        <w:rPr>
          <w:rFonts w:hint="eastAsia" w:ascii="方正仿宋_GBK" w:hAnsi="方正仿宋_GBK" w:eastAsia="方正仿宋_GBK" w:cs="方正仿宋_GBK"/>
          <w:b w:val="0"/>
          <w:bCs/>
          <w:sz w:val="24"/>
          <w:szCs w:val="24"/>
          <w:highlight w:val="none"/>
          <w:lang w:eastAsia="zh-CN"/>
        </w:rPr>
        <w:t>（</w:t>
      </w:r>
      <w:r>
        <w:rPr>
          <w:rFonts w:hint="eastAsia" w:ascii="方正仿宋_GBK" w:hAnsi="方正仿宋_GBK" w:eastAsia="方正仿宋_GBK" w:cs="方正仿宋_GBK"/>
          <w:b w:val="0"/>
          <w:bCs/>
          <w:sz w:val="24"/>
          <w:szCs w:val="24"/>
          <w:highlight w:val="none"/>
        </w:rPr>
        <w:t>盖章</w:t>
      </w:r>
      <w:r>
        <w:rPr>
          <w:rFonts w:hint="eastAsia" w:ascii="方正仿宋_GBK" w:hAnsi="方正仿宋_GBK" w:eastAsia="方正仿宋_GBK" w:cs="方正仿宋_GBK"/>
          <w:b w:val="0"/>
          <w:bCs/>
          <w:sz w:val="24"/>
          <w:szCs w:val="24"/>
          <w:highlight w:val="none"/>
          <w:lang w:eastAsia="zh-CN"/>
        </w:rPr>
        <w:t>）</w:t>
      </w:r>
      <w:r>
        <w:rPr>
          <w:rFonts w:hint="eastAsia" w:ascii="方正仿宋_GBK" w:hAnsi="方正仿宋_GBK" w:eastAsia="方正仿宋_GBK" w:cs="方正仿宋_GBK"/>
          <w:b w:val="0"/>
          <w:bCs/>
          <w:sz w:val="24"/>
          <w:szCs w:val="24"/>
          <w:highlight w:val="none"/>
        </w:rPr>
        <w:t xml:space="preserve">：              </w:t>
      </w:r>
    </w:p>
    <w:p w14:paraId="1F14DF56">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方正仿宋_GBK" w:hAnsi="方正仿宋_GBK" w:eastAsia="方正仿宋_GBK" w:cs="方正仿宋_GBK"/>
          <w:b w:val="0"/>
          <w:bCs/>
          <w:sz w:val="24"/>
          <w:szCs w:val="24"/>
          <w:highlight w:val="none"/>
        </w:rPr>
      </w:pPr>
      <w:r>
        <w:rPr>
          <w:rFonts w:hint="eastAsia" w:ascii="方正仿宋_GBK" w:hAnsi="方正仿宋_GBK" w:eastAsia="方正仿宋_GBK" w:cs="方正仿宋_GBK"/>
          <w:b w:val="0"/>
          <w:bCs/>
          <w:sz w:val="24"/>
          <w:szCs w:val="24"/>
          <w:highlight w:val="none"/>
        </w:rPr>
        <w:t>签约代表：                             签约代表：</w:t>
      </w:r>
    </w:p>
    <w:p w14:paraId="2831616B">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方正仿宋_GBK" w:hAnsi="方正仿宋_GBK" w:eastAsia="方正仿宋_GBK" w:cs="方正仿宋_GBK"/>
          <w:b w:val="0"/>
          <w:bCs/>
          <w:sz w:val="24"/>
          <w:szCs w:val="24"/>
          <w:highlight w:val="none"/>
        </w:rPr>
      </w:pPr>
      <w:r>
        <w:rPr>
          <w:rFonts w:hint="eastAsia" w:ascii="方正仿宋_GBK" w:hAnsi="方正仿宋_GBK" w:eastAsia="方正仿宋_GBK" w:cs="方正仿宋_GBK"/>
          <w:b w:val="0"/>
          <w:bCs/>
          <w:sz w:val="24"/>
          <w:szCs w:val="24"/>
          <w:highlight w:val="none"/>
        </w:rPr>
        <w:t xml:space="preserve">签约日期：   </w:t>
      </w:r>
      <w:r>
        <w:rPr>
          <w:rFonts w:hint="eastAsia" w:ascii="方正仿宋_GBK" w:hAnsi="方正仿宋_GBK" w:eastAsia="方正仿宋_GBK" w:cs="方正仿宋_GBK"/>
          <w:b w:val="0"/>
          <w:bCs/>
          <w:sz w:val="24"/>
          <w:szCs w:val="24"/>
          <w:highlight w:val="none"/>
          <w:lang w:val="en-US" w:eastAsia="zh-CN"/>
        </w:rPr>
        <w:t xml:space="preserve"> </w:t>
      </w:r>
      <w:r>
        <w:rPr>
          <w:rFonts w:hint="eastAsia" w:ascii="方正仿宋_GBK" w:hAnsi="方正仿宋_GBK" w:eastAsia="方正仿宋_GBK" w:cs="方正仿宋_GBK"/>
          <w:b w:val="0"/>
          <w:bCs/>
          <w:sz w:val="24"/>
          <w:szCs w:val="24"/>
          <w:highlight w:val="none"/>
        </w:rPr>
        <w:t xml:space="preserve"> 年   月   日           </w:t>
      </w:r>
      <w:r>
        <w:rPr>
          <w:rFonts w:hint="eastAsia" w:ascii="方正仿宋_GBK" w:hAnsi="方正仿宋_GBK" w:eastAsia="方正仿宋_GBK" w:cs="方正仿宋_GBK"/>
          <w:b w:val="0"/>
          <w:bCs/>
          <w:sz w:val="24"/>
          <w:szCs w:val="24"/>
          <w:highlight w:val="none"/>
          <w:lang w:val="en-US" w:eastAsia="zh-CN"/>
        </w:rPr>
        <w:t xml:space="preserve"> </w:t>
      </w:r>
      <w:r>
        <w:rPr>
          <w:rFonts w:hint="eastAsia" w:ascii="方正仿宋_GBK" w:hAnsi="方正仿宋_GBK" w:eastAsia="方正仿宋_GBK" w:cs="方正仿宋_GBK"/>
          <w:b w:val="0"/>
          <w:bCs/>
          <w:sz w:val="24"/>
          <w:szCs w:val="24"/>
          <w:highlight w:val="none"/>
        </w:rPr>
        <w:t xml:space="preserve">签约日期：   </w:t>
      </w:r>
      <w:r>
        <w:rPr>
          <w:rFonts w:hint="eastAsia" w:ascii="方正仿宋_GBK" w:hAnsi="方正仿宋_GBK" w:eastAsia="方正仿宋_GBK" w:cs="方正仿宋_GBK"/>
          <w:b w:val="0"/>
          <w:bCs/>
          <w:sz w:val="24"/>
          <w:szCs w:val="24"/>
          <w:highlight w:val="none"/>
          <w:lang w:val="en-US" w:eastAsia="zh-CN"/>
        </w:rPr>
        <w:t xml:space="preserve">  </w:t>
      </w:r>
      <w:r>
        <w:rPr>
          <w:rFonts w:hint="eastAsia" w:ascii="方正仿宋_GBK" w:hAnsi="方正仿宋_GBK" w:eastAsia="方正仿宋_GBK" w:cs="方正仿宋_GBK"/>
          <w:b w:val="0"/>
          <w:bCs/>
          <w:sz w:val="24"/>
          <w:szCs w:val="24"/>
          <w:highlight w:val="none"/>
        </w:rPr>
        <w:t xml:space="preserve"> 年   月   日</w:t>
      </w:r>
    </w:p>
    <w:p w14:paraId="3D478059">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方正仿宋_GBK" w:hAnsi="方正仿宋_GBK" w:eastAsia="方正仿宋_GBK" w:cs="方正仿宋_GBK"/>
          <w:sz w:val="24"/>
          <w:szCs w:val="24"/>
          <w:highlight w:val="none"/>
        </w:rPr>
      </w:pPr>
    </w:p>
    <w:p w14:paraId="7C99C30C">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方正仿宋_GBK" w:hAnsi="方正仿宋_GBK" w:eastAsia="方正仿宋_GBK" w:cs="方正仿宋_GBK"/>
          <w:sz w:val="24"/>
          <w:szCs w:val="24"/>
          <w:highlight w:val="none"/>
        </w:rPr>
      </w:pPr>
    </w:p>
    <w:p w14:paraId="3FF1FD4B">
      <w:pPr>
        <w:pStyle w:val="34"/>
        <w:keepNext w:val="0"/>
        <w:keepLines w:val="0"/>
        <w:pageBreakBefore w:val="0"/>
        <w:widowControl w:val="0"/>
        <w:kinsoku/>
        <w:wordWrap/>
        <w:overflowPunct/>
        <w:topLinePunct w:val="0"/>
        <w:autoSpaceDE/>
        <w:autoSpaceDN/>
        <w:bidi w:val="0"/>
        <w:adjustRightInd/>
        <w:snapToGrid/>
        <w:spacing w:line="240" w:lineRule="auto"/>
        <w:ind w:left="320" w:firstLine="300"/>
        <w:jc w:val="both"/>
        <w:textAlignment w:val="auto"/>
        <w:rPr>
          <w:rFonts w:hint="eastAsia" w:ascii="方正仿宋_GBK" w:hAnsi="方正仿宋_GBK" w:eastAsia="方正仿宋_GBK" w:cs="方正仿宋_GBK"/>
          <w:sz w:val="24"/>
          <w:szCs w:val="24"/>
          <w:highlight w:val="none"/>
          <w:lang w:val="en-US" w:eastAsia="zh-CN" w:bidi="ar-SA"/>
        </w:rPr>
      </w:pPr>
    </w:p>
    <w:p w14:paraId="5CE69633">
      <w:pPr>
        <w:pStyle w:val="34"/>
        <w:keepNext w:val="0"/>
        <w:keepLines w:val="0"/>
        <w:pageBreakBefore w:val="0"/>
        <w:widowControl w:val="0"/>
        <w:kinsoku/>
        <w:wordWrap/>
        <w:overflowPunct/>
        <w:topLinePunct w:val="0"/>
        <w:autoSpaceDE/>
        <w:autoSpaceDN/>
        <w:bidi w:val="0"/>
        <w:adjustRightInd/>
        <w:snapToGrid/>
        <w:spacing w:line="240" w:lineRule="auto"/>
        <w:ind w:left="320" w:firstLine="300"/>
        <w:jc w:val="both"/>
        <w:textAlignment w:val="auto"/>
        <w:rPr>
          <w:rFonts w:hint="eastAsia" w:ascii="方正仿宋_GBK" w:hAnsi="方正仿宋_GBK" w:eastAsia="方正仿宋_GBK" w:cs="方正仿宋_GBK"/>
          <w:sz w:val="24"/>
          <w:szCs w:val="24"/>
          <w:highlight w:val="none"/>
          <w:lang w:val="en-US" w:eastAsia="zh-CN" w:bidi="ar-SA"/>
        </w:rPr>
      </w:pPr>
    </w:p>
    <w:p w14:paraId="7308337E">
      <w:pPr>
        <w:jc w:val="both"/>
        <w:rPr>
          <w:rFonts w:hint="eastAsia" w:ascii="方正仿宋_GBK" w:hAnsi="方正仿宋_GBK" w:eastAsia="方正仿宋_GBK" w:cs="方正仿宋_GBK"/>
          <w:sz w:val="24"/>
          <w:szCs w:val="24"/>
          <w:highlight w:val="none"/>
          <w:lang w:val="en-US" w:eastAsia="zh-CN" w:bidi="ar-SA"/>
        </w:rPr>
      </w:pPr>
      <w:r>
        <w:rPr>
          <w:rFonts w:hint="eastAsia" w:ascii="方正仿宋_GBK" w:hAnsi="方正仿宋_GBK" w:eastAsia="方正仿宋_GBK" w:cs="方正仿宋_GBK"/>
          <w:sz w:val="24"/>
          <w:szCs w:val="24"/>
          <w:highlight w:val="none"/>
          <w:lang w:val="en-US" w:eastAsia="zh-CN" w:bidi="ar-SA"/>
        </w:rPr>
        <w:br w:type="page"/>
      </w:r>
    </w:p>
    <w:p w14:paraId="78ABF1B3">
      <w:pPr>
        <w:pStyle w:val="34"/>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rPr>
          <w:rFonts w:hint="eastAsia" w:ascii="方正仿宋_GBK" w:hAnsi="方正仿宋_GBK" w:eastAsia="方正仿宋_GBK" w:cs="方正仿宋_GBK"/>
          <w:sz w:val="24"/>
          <w:szCs w:val="24"/>
          <w:highlight w:val="none"/>
          <w:lang w:val="en-US" w:eastAsia="zh-CN" w:bidi="ar-SA"/>
        </w:rPr>
      </w:pPr>
      <w:r>
        <w:rPr>
          <w:rFonts w:hint="eastAsia" w:ascii="方正仿宋_GBK" w:hAnsi="方正仿宋_GBK" w:eastAsia="方正仿宋_GBK" w:cs="方正仿宋_GBK"/>
          <w:sz w:val="24"/>
          <w:szCs w:val="24"/>
          <w:highlight w:val="none"/>
          <w:lang w:val="en-US" w:eastAsia="zh-CN" w:bidi="ar-SA"/>
        </w:rPr>
        <w:t>附件：</w:t>
      </w:r>
    </w:p>
    <w:p w14:paraId="15CA09E8">
      <w:pPr>
        <w:pStyle w:val="34"/>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方正仿宋_GBK" w:hAnsi="方正仿宋_GBK" w:eastAsia="方正仿宋_GBK" w:cs="方正仿宋_GBK"/>
          <w:b/>
          <w:bCs/>
          <w:color w:val="000000"/>
          <w:sz w:val="24"/>
          <w:szCs w:val="24"/>
          <w:highlight w:val="none"/>
          <w:lang w:eastAsia="zh-CN"/>
        </w:rPr>
      </w:pPr>
      <w:r>
        <w:rPr>
          <w:rFonts w:hint="eastAsia" w:ascii="方正仿宋_GBK" w:hAnsi="方正仿宋_GBK" w:eastAsia="方正仿宋_GBK" w:cs="方正仿宋_GBK"/>
          <w:b/>
          <w:bCs/>
          <w:color w:val="000000"/>
          <w:sz w:val="32"/>
          <w:szCs w:val="32"/>
          <w:highlight w:val="none"/>
          <w:lang w:eastAsia="zh-CN"/>
        </w:rPr>
        <w:t>绿化养护管理验收考核办法</w:t>
      </w:r>
    </w:p>
    <w:p w14:paraId="666B5EC4">
      <w:pPr>
        <w:pStyle w:val="34"/>
        <w:keepNext w:val="0"/>
        <w:keepLines w:val="0"/>
        <w:pageBreakBefore w:val="0"/>
        <w:widowControl w:val="0"/>
        <w:kinsoku/>
        <w:wordWrap/>
        <w:overflowPunct/>
        <w:topLinePunct w:val="0"/>
        <w:autoSpaceDE/>
        <w:autoSpaceDN/>
        <w:bidi w:val="0"/>
        <w:adjustRightInd/>
        <w:snapToGrid/>
        <w:spacing w:line="240" w:lineRule="auto"/>
        <w:ind w:left="0" w:firstLine="480" w:firstLineChars="200"/>
        <w:jc w:val="both"/>
        <w:textAlignment w:val="auto"/>
        <w:rPr>
          <w:rFonts w:hint="eastAsia" w:ascii="方正仿宋_GBK" w:hAnsi="方正仿宋_GBK" w:eastAsia="方正仿宋_GBK" w:cs="方正仿宋_GBK"/>
          <w:sz w:val="24"/>
          <w:szCs w:val="24"/>
          <w:highlight w:val="none"/>
          <w:lang w:val="en-US" w:eastAsia="zh-CN" w:bidi="ar-SA"/>
        </w:rPr>
      </w:pPr>
      <w:r>
        <w:rPr>
          <w:rFonts w:hint="eastAsia" w:ascii="方正仿宋_GBK" w:hAnsi="方正仿宋_GBK" w:eastAsia="方正仿宋_GBK" w:cs="方正仿宋_GBK"/>
          <w:sz w:val="24"/>
          <w:szCs w:val="24"/>
          <w:highlight w:val="none"/>
          <w:lang w:val="en-US" w:eastAsia="zh-CN" w:bidi="ar-SA"/>
        </w:rPr>
        <w:t>为促进GZ380地块综合整治项目、GZ482地块及西侧地块综合整治项目草坪养护管理工作规范化、制度化，进一步强化考核工作，提高养护管理水平， 根据国家和省、市有关绿地管理技术规定，制定本办法。</w:t>
      </w:r>
    </w:p>
    <w:p w14:paraId="7135AE13">
      <w:pPr>
        <w:pStyle w:val="34"/>
        <w:keepNext w:val="0"/>
        <w:keepLines w:val="0"/>
        <w:pageBreakBefore w:val="0"/>
        <w:widowControl w:val="0"/>
        <w:kinsoku/>
        <w:wordWrap/>
        <w:overflowPunct/>
        <w:topLinePunct w:val="0"/>
        <w:autoSpaceDE/>
        <w:autoSpaceDN/>
        <w:bidi w:val="0"/>
        <w:adjustRightInd/>
        <w:snapToGrid/>
        <w:spacing w:line="240" w:lineRule="auto"/>
        <w:ind w:left="0" w:firstLine="480" w:firstLineChars="200"/>
        <w:jc w:val="both"/>
        <w:textAlignment w:val="auto"/>
        <w:rPr>
          <w:rFonts w:hint="eastAsia" w:ascii="方正仿宋_GBK" w:hAnsi="方正仿宋_GBK" w:eastAsia="方正仿宋_GBK" w:cs="方正仿宋_GBK"/>
          <w:sz w:val="24"/>
          <w:szCs w:val="24"/>
          <w:highlight w:val="none"/>
          <w:lang w:val="en-US" w:eastAsia="zh-CN" w:bidi="ar-SA"/>
        </w:rPr>
      </w:pPr>
      <w:r>
        <w:rPr>
          <w:rFonts w:hint="eastAsia" w:ascii="方正仿宋_GBK" w:hAnsi="方正仿宋_GBK" w:eastAsia="方正仿宋_GBK" w:cs="方正仿宋_GBK"/>
          <w:sz w:val="24"/>
          <w:szCs w:val="24"/>
          <w:highlight w:val="none"/>
          <w:lang w:val="en-US" w:eastAsia="zh-CN" w:bidi="ar-SA"/>
        </w:rPr>
        <w:t>一、考核范围</w:t>
      </w:r>
    </w:p>
    <w:p w14:paraId="5404A5CA">
      <w:pPr>
        <w:pStyle w:val="34"/>
        <w:keepNext w:val="0"/>
        <w:keepLines w:val="0"/>
        <w:pageBreakBefore w:val="0"/>
        <w:widowControl w:val="0"/>
        <w:tabs>
          <w:tab w:val="left" w:pos="1037"/>
        </w:tabs>
        <w:kinsoku/>
        <w:wordWrap/>
        <w:overflowPunct/>
        <w:topLinePunct w:val="0"/>
        <w:autoSpaceDE/>
        <w:autoSpaceDN/>
        <w:bidi w:val="0"/>
        <w:adjustRightInd/>
        <w:snapToGrid/>
        <w:spacing w:line="240" w:lineRule="auto"/>
        <w:ind w:left="0" w:firstLine="480" w:firstLineChars="200"/>
        <w:jc w:val="both"/>
        <w:textAlignment w:val="auto"/>
        <w:rPr>
          <w:rFonts w:hint="eastAsia" w:ascii="方正仿宋_GBK" w:hAnsi="方正仿宋_GBK" w:eastAsia="方正仿宋_GBK" w:cs="方正仿宋_GBK"/>
          <w:sz w:val="24"/>
          <w:szCs w:val="24"/>
          <w:highlight w:val="none"/>
          <w:lang w:val="en-US" w:eastAsia="zh-CN" w:bidi="ar-SA"/>
        </w:rPr>
      </w:pPr>
      <w:bookmarkStart w:id="0" w:name="bookmark0"/>
      <w:r>
        <w:rPr>
          <w:rFonts w:hint="eastAsia" w:ascii="方正仿宋_GBK" w:hAnsi="方正仿宋_GBK" w:eastAsia="方正仿宋_GBK" w:cs="方正仿宋_GBK"/>
          <w:sz w:val="24"/>
          <w:szCs w:val="24"/>
          <w:highlight w:val="none"/>
          <w:lang w:val="en-US" w:eastAsia="zh-CN" w:bidi="ar-SA"/>
        </w:rPr>
        <w:t>GZ380地块综合整治项目、GZ482地块及西侧地块综合整治项目草坪养护</w:t>
      </w:r>
    </w:p>
    <w:p w14:paraId="05C09239">
      <w:pPr>
        <w:pStyle w:val="34"/>
        <w:keepNext w:val="0"/>
        <w:keepLines w:val="0"/>
        <w:pageBreakBefore w:val="0"/>
        <w:widowControl w:val="0"/>
        <w:tabs>
          <w:tab w:val="left" w:pos="1037"/>
        </w:tabs>
        <w:kinsoku/>
        <w:wordWrap/>
        <w:overflowPunct/>
        <w:topLinePunct w:val="0"/>
        <w:autoSpaceDE/>
        <w:autoSpaceDN/>
        <w:bidi w:val="0"/>
        <w:adjustRightInd/>
        <w:snapToGrid/>
        <w:spacing w:line="240" w:lineRule="auto"/>
        <w:ind w:left="0" w:firstLine="480" w:firstLineChars="200"/>
        <w:jc w:val="both"/>
        <w:textAlignment w:val="auto"/>
        <w:rPr>
          <w:rFonts w:hint="eastAsia" w:ascii="方正仿宋_GBK" w:hAnsi="方正仿宋_GBK" w:eastAsia="方正仿宋_GBK" w:cs="方正仿宋_GBK"/>
          <w:sz w:val="24"/>
          <w:szCs w:val="24"/>
          <w:highlight w:val="none"/>
          <w:lang w:val="en-US" w:eastAsia="zh-CN" w:bidi="ar-SA"/>
        </w:rPr>
      </w:pPr>
      <w:r>
        <w:rPr>
          <w:rFonts w:hint="eastAsia" w:ascii="方正仿宋_GBK" w:hAnsi="方正仿宋_GBK" w:eastAsia="方正仿宋_GBK" w:cs="方正仿宋_GBK"/>
          <w:sz w:val="24"/>
          <w:szCs w:val="24"/>
          <w:highlight w:val="none"/>
          <w:lang w:val="en-US" w:eastAsia="zh-CN" w:bidi="ar-SA"/>
        </w:rPr>
        <w:t>二</w:t>
      </w:r>
      <w:bookmarkEnd w:id="0"/>
      <w:r>
        <w:rPr>
          <w:rFonts w:hint="eastAsia" w:ascii="方正仿宋_GBK" w:hAnsi="方正仿宋_GBK" w:eastAsia="方正仿宋_GBK" w:cs="方正仿宋_GBK"/>
          <w:sz w:val="24"/>
          <w:szCs w:val="24"/>
          <w:highlight w:val="none"/>
          <w:lang w:val="en-US" w:eastAsia="zh-CN" w:bidi="ar-SA"/>
        </w:rPr>
        <w:t>、</w:t>
      </w:r>
      <w:r>
        <w:rPr>
          <w:rFonts w:hint="eastAsia" w:ascii="方正仿宋_GBK" w:hAnsi="方正仿宋_GBK" w:eastAsia="方正仿宋_GBK" w:cs="方正仿宋_GBK"/>
          <w:sz w:val="24"/>
          <w:szCs w:val="24"/>
          <w:highlight w:val="none"/>
          <w:lang w:val="en-US" w:eastAsia="zh-CN" w:bidi="ar-SA"/>
        </w:rPr>
        <w:tab/>
      </w:r>
      <w:r>
        <w:rPr>
          <w:rFonts w:hint="eastAsia" w:ascii="方正仿宋_GBK" w:hAnsi="方正仿宋_GBK" w:eastAsia="方正仿宋_GBK" w:cs="方正仿宋_GBK"/>
          <w:sz w:val="24"/>
          <w:szCs w:val="24"/>
          <w:highlight w:val="none"/>
          <w:lang w:val="en-US" w:eastAsia="zh-CN" w:bidi="ar-SA"/>
        </w:rPr>
        <w:t>考核要求</w:t>
      </w:r>
    </w:p>
    <w:p w14:paraId="11AC2F51">
      <w:pPr>
        <w:pStyle w:val="34"/>
        <w:keepNext w:val="0"/>
        <w:keepLines w:val="0"/>
        <w:pageBreakBefore w:val="0"/>
        <w:widowControl w:val="0"/>
        <w:kinsoku/>
        <w:wordWrap/>
        <w:overflowPunct/>
        <w:topLinePunct w:val="0"/>
        <w:autoSpaceDE/>
        <w:autoSpaceDN/>
        <w:bidi w:val="0"/>
        <w:adjustRightInd/>
        <w:snapToGrid/>
        <w:spacing w:line="240" w:lineRule="auto"/>
        <w:ind w:left="0" w:firstLine="480" w:firstLineChars="200"/>
        <w:jc w:val="both"/>
        <w:textAlignment w:val="auto"/>
        <w:rPr>
          <w:rFonts w:hint="eastAsia" w:ascii="方正仿宋_GBK" w:hAnsi="方正仿宋_GBK" w:eastAsia="方正仿宋_GBK" w:cs="方正仿宋_GBK"/>
          <w:sz w:val="24"/>
          <w:szCs w:val="24"/>
          <w:highlight w:val="none"/>
          <w:lang w:val="en-US" w:eastAsia="zh-CN" w:bidi="ar-SA"/>
        </w:rPr>
      </w:pPr>
      <w:r>
        <w:rPr>
          <w:rFonts w:hint="eastAsia" w:ascii="方正仿宋_GBK" w:hAnsi="方正仿宋_GBK" w:eastAsia="方正仿宋_GBK" w:cs="方正仿宋_GBK"/>
          <w:sz w:val="24"/>
          <w:szCs w:val="24"/>
          <w:highlight w:val="none"/>
          <w:lang w:val="en-US" w:eastAsia="zh-CN" w:bidi="ar-SA"/>
        </w:rPr>
        <w:t>扬州市上善建设工程有限公司负责绿地养护管理的日常验收考核工作。考核人员应遵循公开、公平、 公正的原则，按照《扬州市城市绿地养护管理考核细则》（见附件），认真、严格地考核评分，确保考核工作扎实有效。</w:t>
      </w:r>
    </w:p>
    <w:p w14:paraId="6534E257">
      <w:pPr>
        <w:pStyle w:val="34"/>
        <w:keepNext w:val="0"/>
        <w:keepLines w:val="0"/>
        <w:pageBreakBefore w:val="0"/>
        <w:widowControl w:val="0"/>
        <w:kinsoku/>
        <w:wordWrap/>
        <w:overflowPunct/>
        <w:topLinePunct w:val="0"/>
        <w:autoSpaceDE/>
        <w:autoSpaceDN/>
        <w:bidi w:val="0"/>
        <w:adjustRightInd/>
        <w:snapToGrid/>
        <w:spacing w:line="240" w:lineRule="auto"/>
        <w:ind w:left="0" w:firstLine="480" w:firstLineChars="200"/>
        <w:jc w:val="both"/>
        <w:textAlignment w:val="auto"/>
        <w:rPr>
          <w:rFonts w:hint="eastAsia" w:ascii="方正仿宋_GBK" w:hAnsi="方正仿宋_GBK" w:eastAsia="方正仿宋_GBK" w:cs="方正仿宋_GBK"/>
          <w:sz w:val="24"/>
          <w:szCs w:val="24"/>
          <w:highlight w:val="none"/>
          <w:lang w:val="en-US" w:eastAsia="zh-CN" w:bidi="ar-SA"/>
        </w:rPr>
      </w:pPr>
      <w:r>
        <w:rPr>
          <w:rFonts w:hint="eastAsia" w:ascii="方正仿宋_GBK" w:hAnsi="方正仿宋_GBK" w:eastAsia="方正仿宋_GBK" w:cs="方正仿宋_GBK"/>
          <w:sz w:val="24"/>
          <w:szCs w:val="24"/>
          <w:highlight w:val="none"/>
          <w:lang w:val="en-US" w:eastAsia="zh-CN" w:bidi="ar-SA"/>
        </w:rPr>
        <w:t>每月考核结果由扬州市上善建设工程有限公司在次月初以书面形式通知养护单位。</w:t>
      </w:r>
    </w:p>
    <w:p w14:paraId="2EFE0D6F">
      <w:pPr>
        <w:pStyle w:val="34"/>
        <w:keepNext w:val="0"/>
        <w:keepLines w:val="0"/>
        <w:pageBreakBefore w:val="0"/>
        <w:widowControl w:val="0"/>
        <w:tabs>
          <w:tab w:val="left" w:pos="1041"/>
        </w:tabs>
        <w:kinsoku/>
        <w:wordWrap/>
        <w:overflowPunct/>
        <w:topLinePunct w:val="0"/>
        <w:autoSpaceDE/>
        <w:autoSpaceDN/>
        <w:bidi w:val="0"/>
        <w:adjustRightInd/>
        <w:snapToGrid/>
        <w:spacing w:line="240" w:lineRule="auto"/>
        <w:ind w:left="0" w:firstLine="480" w:firstLineChars="200"/>
        <w:jc w:val="both"/>
        <w:textAlignment w:val="auto"/>
        <w:rPr>
          <w:rFonts w:hint="eastAsia" w:ascii="方正仿宋_GBK" w:hAnsi="方正仿宋_GBK" w:eastAsia="方正仿宋_GBK" w:cs="方正仿宋_GBK"/>
          <w:sz w:val="24"/>
          <w:szCs w:val="24"/>
          <w:highlight w:val="none"/>
          <w:lang w:val="en-US" w:eastAsia="zh-CN" w:bidi="ar-SA"/>
        </w:rPr>
      </w:pPr>
      <w:bookmarkStart w:id="1" w:name="bookmark1"/>
      <w:r>
        <w:rPr>
          <w:rFonts w:hint="eastAsia" w:ascii="方正仿宋_GBK" w:hAnsi="方正仿宋_GBK" w:eastAsia="方正仿宋_GBK" w:cs="方正仿宋_GBK"/>
          <w:sz w:val="24"/>
          <w:szCs w:val="24"/>
          <w:highlight w:val="none"/>
          <w:lang w:val="en-US" w:eastAsia="zh-CN" w:bidi="ar-SA"/>
        </w:rPr>
        <w:t>三</w:t>
      </w:r>
      <w:bookmarkEnd w:id="1"/>
      <w:r>
        <w:rPr>
          <w:rFonts w:hint="eastAsia" w:ascii="方正仿宋_GBK" w:hAnsi="方正仿宋_GBK" w:eastAsia="方正仿宋_GBK" w:cs="方正仿宋_GBK"/>
          <w:sz w:val="24"/>
          <w:szCs w:val="24"/>
          <w:highlight w:val="none"/>
          <w:lang w:val="en-US" w:eastAsia="zh-CN" w:bidi="ar-SA"/>
        </w:rPr>
        <w:t>、</w:t>
      </w:r>
      <w:r>
        <w:rPr>
          <w:rFonts w:hint="eastAsia" w:ascii="方正仿宋_GBK" w:hAnsi="方正仿宋_GBK" w:eastAsia="方正仿宋_GBK" w:cs="方正仿宋_GBK"/>
          <w:sz w:val="24"/>
          <w:szCs w:val="24"/>
          <w:highlight w:val="none"/>
          <w:lang w:val="en-US" w:eastAsia="zh-CN" w:bidi="ar-SA"/>
        </w:rPr>
        <w:tab/>
      </w:r>
      <w:r>
        <w:rPr>
          <w:rFonts w:hint="eastAsia" w:ascii="方正仿宋_GBK" w:hAnsi="方正仿宋_GBK" w:eastAsia="方正仿宋_GBK" w:cs="方正仿宋_GBK"/>
          <w:sz w:val="24"/>
          <w:szCs w:val="24"/>
          <w:highlight w:val="none"/>
          <w:lang w:val="en-US" w:eastAsia="zh-CN" w:bidi="ar-SA"/>
        </w:rPr>
        <w:t>考核项目</w:t>
      </w:r>
    </w:p>
    <w:p w14:paraId="3802B3FC">
      <w:pPr>
        <w:pStyle w:val="34"/>
        <w:keepNext w:val="0"/>
        <w:keepLines w:val="0"/>
        <w:pageBreakBefore w:val="0"/>
        <w:widowControl w:val="0"/>
        <w:kinsoku/>
        <w:wordWrap/>
        <w:overflowPunct/>
        <w:topLinePunct w:val="0"/>
        <w:autoSpaceDE/>
        <w:autoSpaceDN/>
        <w:bidi w:val="0"/>
        <w:adjustRightInd/>
        <w:snapToGrid/>
        <w:spacing w:line="240" w:lineRule="auto"/>
        <w:ind w:left="0" w:firstLine="480" w:firstLineChars="200"/>
        <w:jc w:val="both"/>
        <w:textAlignment w:val="auto"/>
        <w:rPr>
          <w:rFonts w:hint="eastAsia" w:ascii="方正仿宋_GBK" w:hAnsi="方正仿宋_GBK" w:eastAsia="方正仿宋_GBK" w:cs="方正仿宋_GBK"/>
          <w:sz w:val="24"/>
          <w:szCs w:val="24"/>
          <w:highlight w:val="none"/>
          <w:lang w:val="en-US" w:eastAsia="zh-CN" w:bidi="ar-SA"/>
        </w:rPr>
      </w:pPr>
      <w:r>
        <w:rPr>
          <w:rFonts w:hint="eastAsia" w:ascii="方正仿宋_GBK" w:hAnsi="方正仿宋_GBK" w:eastAsia="方正仿宋_GBK" w:cs="方正仿宋_GBK"/>
          <w:sz w:val="24"/>
          <w:szCs w:val="24"/>
          <w:highlight w:val="none"/>
          <w:lang w:val="en-US" w:eastAsia="zh-CN" w:bidi="ar-SA"/>
        </w:rPr>
        <w:t>考核项目分：修剪剥芽、施肥、病虫害防治、除草及维护、浇水排涝及防冻处理、保存率、卫生保洁、 绿地保护及设施维护、资料档案及其他。</w:t>
      </w:r>
    </w:p>
    <w:p w14:paraId="2F4BBE14">
      <w:pPr>
        <w:pStyle w:val="34"/>
        <w:keepNext w:val="0"/>
        <w:keepLines w:val="0"/>
        <w:pageBreakBefore w:val="0"/>
        <w:widowControl w:val="0"/>
        <w:tabs>
          <w:tab w:val="left" w:pos="1041"/>
        </w:tabs>
        <w:kinsoku/>
        <w:wordWrap/>
        <w:overflowPunct/>
        <w:topLinePunct w:val="0"/>
        <w:autoSpaceDE/>
        <w:autoSpaceDN/>
        <w:bidi w:val="0"/>
        <w:adjustRightInd/>
        <w:snapToGrid/>
        <w:spacing w:line="240" w:lineRule="auto"/>
        <w:ind w:left="0" w:firstLine="480" w:firstLineChars="200"/>
        <w:jc w:val="both"/>
        <w:textAlignment w:val="auto"/>
        <w:rPr>
          <w:rFonts w:hint="eastAsia" w:ascii="方正仿宋_GBK" w:hAnsi="方正仿宋_GBK" w:eastAsia="方正仿宋_GBK" w:cs="方正仿宋_GBK"/>
          <w:sz w:val="24"/>
          <w:szCs w:val="24"/>
          <w:highlight w:val="none"/>
          <w:lang w:val="en-US" w:eastAsia="zh-CN" w:bidi="ar-SA"/>
        </w:rPr>
      </w:pPr>
      <w:bookmarkStart w:id="2" w:name="bookmark2"/>
      <w:r>
        <w:rPr>
          <w:rFonts w:hint="eastAsia" w:ascii="方正仿宋_GBK" w:hAnsi="方正仿宋_GBK" w:eastAsia="方正仿宋_GBK" w:cs="方正仿宋_GBK"/>
          <w:sz w:val="24"/>
          <w:szCs w:val="24"/>
          <w:highlight w:val="none"/>
          <w:lang w:val="en-US" w:eastAsia="zh-CN" w:bidi="ar-SA"/>
        </w:rPr>
        <w:t>四</w:t>
      </w:r>
      <w:bookmarkEnd w:id="2"/>
      <w:r>
        <w:rPr>
          <w:rFonts w:hint="eastAsia" w:ascii="方正仿宋_GBK" w:hAnsi="方正仿宋_GBK" w:eastAsia="方正仿宋_GBK" w:cs="方正仿宋_GBK"/>
          <w:sz w:val="24"/>
          <w:szCs w:val="24"/>
          <w:highlight w:val="none"/>
          <w:lang w:val="en-US" w:eastAsia="zh-CN" w:bidi="ar-SA"/>
        </w:rPr>
        <w:t>、</w:t>
      </w:r>
      <w:r>
        <w:rPr>
          <w:rFonts w:hint="eastAsia" w:ascii="方正仿宋_GBK" w:hAnsi="方正仿宋_GBK" w:eastAsia="方正仿宋_GBK" w:cs="方正仿宋_GBK"/>
          <w:sz w:val="24"/>
          <w:szCs w:val="24"/>
          <w:highlight w:val="none"/>
          <w:lang w:val="en-US" w:eastAsia="zh-CN" w:bidi="ar-SA"/>
        </w:rPr>
        <w:tab/>
      </w:r>
      <w:r>
        <w:rPr>
          <w:rFonts w:hint="eastAsia" w:ascii="方正仿宋_GBK" w:hAnsi="方正仿宋_GBK" w:eastAsia="方正仿宋_GBK" w:cs="方正仿宋_GBK"/>
          <w:sz w:val="24"/>
          <w:szCs w:val="24"/>
          <w:highlight w:val="none"/>
          <w:lang w:val="en-US" w:eastAsia="zh-CN" w:bidi="ar-SA"/>
        </w:rPr>
        <w:t>考核办法</w:t>
      </w:r>
    </w:p>
    <w:p w14:paraId="3C371A08">
      <w:pPr>
        <w:pStyle w:val="34"/>
        <w:keepNext w:val="0"/>
        <w:keepLines w:val="0"/>
        <w:pageBreakBefore w:val="0"/>
        <w:widowControl w:val="0"/>
        <w:kinsoku/>
        <w:wordWrap/>
        <w:overflowPunct/>
        <w:topLinePunct w:val="0"/>
        <w:autoSpaceDE/>
        <w:autoSpaceDN/>
        <w:bidi w:val="0"/>
        <w:adjustRightInd/>
        <w:snapToGrid/>
        <w:spacing w:line="240" w:lineRule="auto"/>
        <w:ind w:left="0" w:firstLine="480" w:firstLineChars="200"/>
        <w:jc w:val="both"/>
        <w:textAlignment w:val="auto"/>
        <w:rPr>
          <w:rFonts w:hint="eastAsia" w:ascii="方正仿宋_GBK" w:hAnsi="方正仿宋_GBK" w:eastAsia="方正仿宋_GBK" w:cs="方正仿宋_GBK"/>
          <w:sz w:val="24"/>
          <w:szCs w:val="24"/>
          <w:highlight w:val="none"/>
          <w:lang w:val="en-US" w:eastAsia="zh-CN" w:bidi="ar-SA"/>
        </w:rPr>
      </w:pPr>
      <w:r>
        <w:rPr>
          <w:rFonts w:hint="eastAsia" w:ascii="方正仿宋_GBK" w:hAnsi="方正仿宋_GBK" w:eastAsia="方正仿宋_GBK" w:cs="方正仿宋_GBK"/>
          <w:sz w:val="24"/>
          <w:szCs w:val="24"/>
          <w:highlight w:val="none"/>
          <w:lang w:val="en-US" w:eastAsia="zh-CN" w:bidi="ar-SA"/>
        </w:rPr>
        <w:t>每月釆用定期考核与巡查考核相结合的方式进行全面考核。</w:t>
      </w:r>
    </w:p>
    <w:p w14:paraId="3184EC42">
      <w:pPr>
        <w:pStyle w:val="34"/>
        <w:keepNext w:val="0"/>
        <w:keepLines w:val="0"/>
        <w:pageBreakBefore w:val="0"/>
        <w:widowControl w:val="0"/>
        <w:tabs>
          <w:tab w:val="left" w:pos="962"/>
        </w:tabs>
        <w:kinsoku/>
        <w:wordWrap/>
        <w:overflowPunct/>
        <w:topLinePunct w:val="0"/>
        <w:autoSpaceDE/>
        <w:autoSpaceDN/>
        <w:bidi w:val="0"/>
        <w:adjustRightInd/>
        <w:snapToGrid/>
        <w:spacing w:line="240" w:lineRule="auto"/>
        <w:ind w:left="0" w:firstLine="480" w:firstLineChars="200"/>
        <w:jc w:val="both"/>
        <w:textAlignment w:val="auto"/>
        <w:rPr>
          <w:rFonts w:hint="eastAsia" w:ascii="方正仿宋_GBK" w:hAnsi="方正仿宋_GBK" w:eastAsia="方正仿宋_GBK" w:cs="方正仿宋_GBK"/>
          <w:sz w:val="24"/>
          <w:szCs w:val="24"/>
          <w:highlight w:val="none"/>
          <w:lang w:val="en-US" w:eastAsia="zh-CN" w:bidi="ar-SA"/>
        </w:rPr>
      </w:pPr>
      <w:bookmarkStart w:id="3" w:name="bookmark3"/>
      <w:r>
        <w:rPr>
          <w:rFonts w:hint="eastAsia" w:ascii="方正仿宋_GBK" w:hAnsi="方正仿宋_GBK" w:eastAsia="方正仿宋_GBK" w:cs="方正仿宋_GBK"/>
          <w:sz w:val="24"/>
          <w:szCs w:val="24"/>
          <w:highlight w:val="none"/>
          <w:lang w:val="en-US" w:eastAsia="zh-CN" w:bidi="ar-SA"/>
        </w:rPr>
        <w:t>五</w:t>
      </w:r>
      <w:bookmarkEnd w:id="3"/>
      <w:r>
        <w:rPr>
          <w:rFonts w:hint="eastAsia" w:ascii="方正仿宋_GBK" w:hAnsi="方正仿宋_GBK" w:eastAsia="方正仿宋_GBK" w:cs="方正仿宋_GBK"/>
          <w:sz w:val="24"/>
          <w:szCs w:val="24"/>
          <w:highlight w:val="none"/>
          <w:lang w:val="en-US" w:eastAsia="zh-CN" w:bidi="ar-SA"/>
        </w:rPr>
        <w:t>、</w:t>
      </w:r>
      <w:r>
        <w:rPr>
          <w:rFonts w:hint="eastAsia" w:ascii="方正仿宋_GBK" w:hAnsi="方正仿宋_GBK" w:eastAsia="方正仿宋_GBK" w:cs="方正仿宋_GBK"/>
          <w:sz w:val="24"/>
          <w:szCs w:val="24"/>
          <w:highlight w:val="none"/>
          <w:lang w:val="en-US" w:eastAsia="zh-CN" w:bidi="ar-SA"/>
        </w:rPr>
        <w:tab/>
      </w:r>
      <w:r>
        <w:rPr>
          <w:rFonts w:hint="eastAsia" w:ascii="方正仿宋_GBK" w:hAnsi="方正仿宋_GBK" w:eastAsia="方正仿宋_GBK" w:cs="方正仿宋_GBK"/>
          <w:sz w:val="24"/>
          <w:szCs w:val="24"/>
          <w:highlight w:val="none"/>
          <w:lang w:val="en-US" w:eastAsia="zh-CN" w:bidi="ar-SA"/>
        </w:rPr>
        <w:t>考核评分</w:t>
      </w:r>
    </w:p>
    <w:p w14:paraId="3AFCBDC6">
      <w:pPr>
        <w:pStyle w:val="34"/>
        <w:keepNext w:val="0"/>
        <w:keepLines w:val="0"/>
        <w:pageBreakBefore w:val="0"/>
        <w:widowControl w:val="0"/>
        <w:tabs>
          <w:tab w:val="left" w:pos="1072"/>
        </w:tabs>
        <w:kinsoku/>
        <w:wordWrap/>
        <w:overflowPunct/>
        <w:topLinePunct w:val="0"/>
        <w:autoSpaceDE/>
        <w:autoSpaceDN/>
        <w:bidi w:val="0"/>
        <w:adjustRightInd/>
        <w:snapToGrid/>
        <w:spacing w:line="240" w:lineRule="auto"/>
        <w:ind w:left="0" w:firstLine="480" w:firstLineChars="200"/>
        <w:jc w:val="both"/>
        <w:textAlignment w:val="auto"/>
        <w:rPr>
          <w:rFonts w:hint="eastAsia" w:ascii="方正仿宋_GBK" w:hAnsi="方正仿宋_GBK" w:eastAsia="方正仿宋_GBK" w:cs="方正仿宋_GBK"/>
          <w:sz w:val="24"/>
          <w:szCs w:val="24"/>
          <w:highlight w:val="none"/>
          <w:lang w:val="en-US" w:eastAsia="zh-CN" w:bidi="ar-SA"/>
        </w:rPr>
      </w:pPr>
      <w:bookmarkStart w:id="4" w:name="bookmark4"/>
      <w:r>
        <w:rPr>
          <w:rFonts w:hint="eastAsia" w:ascii="方正仿宋_GBK" w:hAnsi="方正仿宋_GBK" w:eastAsia="方正仿宋_GBK" w:cs="方正仿宋_GBK"/>
          <w:sz w:val="24"/>
          <w:szCs w:val="24"/>
          <w:highlight w:val="none"/>
          <w:lang w:val="en-US" w:eastAsia="zh-CN" w:bidi="ar-SA"/>
        </w:rPr>
        <w:t>（</w:t>
      </w:r>
      <w:bookmarkEnd w:id="4"/>
      <w:r>
        <w:rPr>
          <w:rFonts w:hint="eastAsia" w:ascii="方正仿宋_GBK" w:hAnsi="方正仿宋_GBK" w:eastAsia="方正仿宋_GBK" w:cs="方正仿宋_GBK"/>
          <w:sz w:val="24"/>
          <w:szCs w:val="24"/>
          <w:highlight w:val="none"/>
          <w:lang w:val="en-US" w:eastAsia="zh-CN" w:bidi="ar-SA"/>
        </w:rPr>
        <w:t>一）</w:t>
      </w:r>
      <w:r>
        <w:rPr>
          <w:rFonts w:hint="eastAsia" w:ascii="方正仿宋_GBK" w:hAnsi="方正仿宋_GBK" w:eastAsia="方正仿宋_GBK" w:cs="方正仿宋_GBK"/>
          <w:sz w:val="24"/>
          <w:szCs w:val="24"/>
          <w:highlight w:val="none"/>
          <w:lang w:val="en-US" w:eastAsia="zh-CN" w:bidi="ar-SA"/>
        </w:rPr>
        <w:tab/>
      </w:r>
      <w:r>
        <w:rPr>
          <w:rFonts w:hint="eastAsia" w:ascii="方正仿宋_GBK" w:hAnsi="方正仿宋_GBK" w:eastAsia="方正仿宋_GBK" w:cs="方正仿宋_GBK"/>
          <w:sz w:val="24"/>
          <w:szCs w:val="24"/>
          <w:highlight w:val="none"/>
          <w:lang w:val="en-US" w:eastAsia="zh-CN" w:bidi="ar-SA"/>
        </w:rPr>
        <w:t>考核实行百分制，考核项目所占比分详见《扬州市城市绿地养护管理考核细则》。根据不同类型绿地、不同季节情况、不同养护等级，各项分值可精做调整。</w:t>
      </w:r>
    </w:p>
    <w:p w14:paraId="2BB5E23E">
      <w:pPr>
        <w:pStyle w:val="34"/>
        <w:keepNext w:val="0"/>
        <w:keepLines w:val="0"/>
        <w:pageBreakBefore w:val="0"/>
        <w:widowControl w:val="0"/>
        <w:tabs>
          <w:tab w:val="left" w:pos="1076"/>
        </w:tabs>
        <w:kinsoku/>
        <w:wordWrap/>
        <w:overflowPunct/>
        <w:topLinePunct w:val="0"/>
        <w:autoSpaceDE/>
        <w:autoSpaceDN/>
        <w:bidi w:val="0"/>
        <w:adjustRightInd/>
        <w:snapToGrid/>
        <w:spacing w:line="240" w:lineRule="auto"/>
        <w:ind w:left="0" w:firstLine="480" w:firstLineChars="200"/>
        <w:jc w:val="both"/>
        <w:textAlignment w:val="auto"/>
        <w:rPr>
          <w:rFonts w:hint="eastAsia" w:ascii="方正仿宋_GBK" w:hAnsi="方正仿宋_GBK" w:eastAsia="方正仿宋_GBK" w:cs="方正仿宋_GBK"/>
          <w:sz w:val="24"/>
          <w:szCs w:val="24"/>
          <w:highlight w:val="none"/>
          <w:lang w:val="en-US" w:eastAsia="zh-CN" w:bidi="ar-SA"/>
        </w:rPr>
      </w:pPr>
      <w:bookmarkStart w:id="5" w:name="bookmark5"/>
      <w:r>
        <w:rPr>
          <w:rFonts w:hint="eastAsia" w:ascii="方正仿宋_GBK" w:hAnsi="方正仿宋_GBK" w:eastAsia="方正仿宋_GBK" w:cs="方正仿宋_GBK"/>
          <w:sz w:val="24"/>
          <w:szCs w:val="24"/>
          <w:highlight w:val="none"/>
          <w:lang w:val="en-US" w:eastAsia="zh-CN" w:bidi="ar-SA"/>
        </w:rPr>
        <w:t>（</w:t>
      </w:r>
      <w:bookmarkEnd w:id="5"/>
      <w:r>
        <w:rPr>
          <w:rFonts w:hint="eastAsia" w:ascii="方正仿宋_GBK" w:hAnsi="方正仿宋_GBK" w:eastAsia="方正仿宋_GBK" w:cs="方正仿宋_GBK"/>
          <w:sz w:val="24"/>
          <w:szCs w:val="24"/>
          <w:highlight w:val="none"/>
          <w:lang w:val="en-US" w:eastAsia="zh-CN" w:bidi="ar-SA"/>
        </w:rPr>
        <w:t>二）每月考核分数由定期考核得分与巡査考核得分综合组成，定期考核得分占综合得分的70%，巡査考核得分占综合得分的30%。</w:t>
      </w:r>
    </w:p>
    <w:p w14:paraId="30EB47BE">
      <w:pPr>
        <w:pStyle w:val="34"/>
        <w:keepNext w:val="0"/>
        <w:keepLines w:val="0"/>
        <w:pageBreakBefore w:val="0"/>
        <w:widowControl w:val="0"/>
        <w:tabs>
          <w:tab w:val="left" w:pos="1051"/>
        </w:tabs>
        <w:kinsoku/>
        <w:wordWrap/>
        <w:overflowPunct/>
        <w:topLinePunct w:val="0"/>
        <w:autoSpaceDE/>
        <w:autoSpaceDN/>
        <w:bidi w:val="0"/>
        <w:adjustRightInd/>
        <w:snapToGrid/>
        <w:spacing w:line="240" w:lineRule="auto"/>
        <w:ind w:left="0" w:firstLine="480" w:firstLineChars="200"/>
        <w:jc w:val="both"/>
        <w:textAlignment w:val="auto"/>
        <w:rPr>
          <w:rFonts w:hint="eastAsia" w:ascii="方正仿宋_GBK" w:hAnsi="方正仿宋_GBK" w:eastAsia="方正仿宋_GBK" w:cs="方正仿宋_GBK"/>
          <w:sz w:val="24"/>
          <w:szCs w:val="24"/>
          <w:highlight w:val="none"/>
          <w:lang w:val="en-US" w:eastAsia="zh-CN" w:bidi="ar-SA"/>
        </w:rPr>
      </w:pPr>
      <w:bookmarkStart w:id="6" w:name="bookmark6"/>
      <w:r>
        <w:rPr>
          <w:rFonts w:hint="eastAsia" w:ascii="方正仿宋_GBK" w:hAnsi="方正仿宋_GBK" w:eastAsia="方正仿宋_GBK" w:cs="方正仿宋_GBK"/>
          <w:sz w:val="24"/>
          <w:szCs w:val="24"/>
          <w:highlight w:val="none"/>
          <w:lang w:val="en-US" w:eastAsia="zh-CN" w:bidi="ar-SA"/>
        </w:rPr>
        <w:t>（</w:t>
      </w:r>
      <w:bookmarkEnd w:id="6"/>
      <w:r>
        <w:rPr>
          <w:rFonts w:hint="eastAsia" w:ascii="方正仿宋_GBK" w:hAnsi="方正仿宋_GBK" w:eastAsia="方正仿宋_GBK" w:cs="方正仿宋_GBK"/>
          <w:sz w:val="24"/>
          <w:szCs w:val="24"/>
          <w:highlight w:val="none"/>
          <w:lang w:val="en-US" w:eastAsia="zh-CN" w:bidi="ar-SA"/>
        </w:rPr>
        <w:t>三）因养护管理不当，出现以下情况的，每次加扣三分：</w:t>
      </w:r>
    </w:p>
    <w:p w14:paraId="37F2D59D">
      <w:pPr>
        <w:pStyle w:val="34"/>
        <w:keepNext w:val="0"/>
        <w:keepLines w:val="0"/>
        <w:pageBreakBefore w:val="0"/>
        <w:widowControl w:val="0"/>
        <w:tabs>
          <w:tab w:val="left" w:pos="736"/>
        </w:tabs>
        <w:kinsoku/>
        <w:wordWrap/>
        <w:overflowPunct/>
        <w:topLinePunct w:val="0"/>
        <w:autoSpaceDE/>
        <w:autoSpaceDN/>
        <w:bidi w:val="0"/>
        <w:adjustRightInd/>
        <w:snapToGrid/>
        <w:spacing w:line="240" w:lineRule="auto"/>
        <w:ind w:left="0" w:firstLine="480" w:firstLineChars="200"/>
        <w:jc w:val="both"/>
        <w:textAlignment w:val="auto"/>
        <w:rPr>
          <w:rFonts w:hint="eastAsia" w:ascii="方正仿宋_GBK" w:hAnsi="方正仿宋_GBK" w:eastAsia="方正仿宋_GBK" w:cs="方正仿宋_GBK"/>
          <w:sz w:val="24"/>
          <w:szCs w:val="24"/>
          <w:highlight w:val="none"/>
          <w:lang w:val="en-US" w:eastAsia="zh-CN" w:bidi="ar-SA"/>
        </w:rPr>
      </w:pPr>
      <w:bookmarkStart w:id="7" w:name="bookmark7"/>
      <w:r>
        <w:rPr>
          <w:rFonts w:hint="eastAsia" w:ascii="方正仿宋_GBK" w:hAnsi="方正仿宋_GBK" w:eastAsia="方正仿宋_GBK" w:cs="方正仿宋_GBK"/>
          <w:sz w:val="24"/>
          <w:szCs w:val="24"/>
          <w:highlight w:val="none"/>
          <w:lang w:val="en-US" w:eastAsia="zh-CN" w:bidi="ar-SA"/>
        </w:rPr>
        <w:t>1</w:t>
      </w:r>
      <w:bookmarkEnd w:id="7"/>
      <w:r>
        <w:rPr>
          <w:rFonts w:hint="eastAsia" w:ascii="方正仿宋_GBK" w:hAnsi="方正仿宋_GBK" w:eastAsia="方正仿宋_GBK" w:cs="方正仿宋_GBK"/>
          <w:sz w:val="24"/>
          <w:szCs w:val="24"/>
          <w:highlight w:val="none"/>
          <w:lang w:val="en-US" w:eastAsia="zh-CN" w:bidi="ar-SA"/>
        </w:rPr>
        <w:t>、</w:t>
      </w:r>
      <w:r>
        <w:rPr>
          <w:rFonts w:hint="eastAsia" w:ascii="方正仿宋_GBK" w:hAnsi="方正仿宋_GBK" w:eastAsia="方正仿宋_GBK" w:cs="方正仿宋_GBK"/>
          <w:sz w:val="24"/>
          <w:szCs w:val="24"/>
          <w:highlight w:val="none"/>
          <w:lang w:val="en-US" w:eastAsia="zh-CN" w:bidi="ar-SA"/>
        </w:rPr>
        <w:tab/>
      </w:r>
      <w:r>
        <w:rPr>
          <w:rFonts w:hint="eastAsia" w:ascii="方正仿宋_GBK" w:hAnsi="方正仿宋_GBK" w:eastAsia="方正仿宋_GBK" w:cs="方正仿宋_GBK"/>
          <w:sz w:val="24"/>
          <w:szCs w:val="24"/>
          <w:highlight w:val="none"/>
          <w:lang w:val="en-US" w:eastAsia="zh-CN" w:bidi="ar-SA"/>
        </w:rPr>
        <w:t>受到上级领导点名批评、情节严重的：</w:t>
      </w:r>
    </w:p>
    <w:p w14:paraId="293E1663">
      <w:pPr>
        <w:pStyle w:val="34"/>
        <w:keepNext w:val="0"/>
        <w:keepLines w:val="0"/>
        <w:pageBreakBefore w:val="0"/>
        <w:widowControl w:val="0"/>
        <w:tabs>
          <w:tab w:val="left" w:pos="744"/>
        </w:tabs>
        <w:kinsoku/>
        <w:wordWrap/>
        <w:overflowPunct/>
        <w:topLinePunct w:val="0"/>
        <w:autoSpaceDE/>
        <w:autoSpaceDN/>
        <w:bidi w:val="0"/>
        <w:adjustRightInd/>
        <w:snapToGrid/>
        <w:spacing w:line="240" w:lineRule="auto"/>
        <w:ind w:left="0" w:firstLine="480" w:firstLineChars="200"/>
        <w:jc w:val="both"/>
        <w:textAlignment w:val="auto"/>
        <w:rPr>
          <w:rFonts w:hint="eastAsia" w:ascii="方正仿宋_GBK" w:hAnsi="方正仿宋_GBK" w:eastAsia="方正仿宋_GBK" w:cs="方正仿宋_GBK"/>
          <w:sz w:val="24"/>
          <w:szCs w:val="24"/>
          <w:highlight w:val="none"/>
          <w:lang w:val="en-US" w:eastAsia="zh-CN" w:bidi="ar-SA"/>
        </w:rPr>
      </w:pPr>
      <w:bookmarkStart w:id="8" w:name="bookmark8"/>
      <w:r>
        <w:rPr>
          <w:rFonts w:hint="eastAsia" w:ascii="方正仿宋_GBK" w:hAnsi="方正仿宋_GBK" w:eastAsia="方正仿宋_GBK" w:cs="方正仿宋_GBK"/>
          <w:sz w:val="24"/>
          <w:szCs w:val="24"/>
          <w:highlight w:val="none"/>
          <w:lang w:val="en-US" w:eastAsia="zh-CN" w:bidi="ar-SA"/>
        </w:rPr>
        <w:t>2</w:t>
      </w:r>
      <w:bookmarkEnd w:id="8"/>
      <w:r>
        <w:rPr>
          <w:rFonts w:hint="eastAsia" w:ascii="方正仿宋_GBK" w:hAnsi="方正仿宋_GBK" w:eastAsia="方正仿宋_GBK" w:cs="方正仿宋_GBK"/>
          <w:sz w:val="24"/>
          <w:szCs w:val="24"/>
          <w:highlight w:val="none"/>
          <w:lang w:val="en-US" w:eastAsia="zh-CN" w:bidi="ar-SA"/>
        </w:rPr>
        <w:t>、</w:t>
      </w:r>
      <w:r>
        <w:rPr>
          <w:rFonts w:hint="eastAsia" w:ascii="方正仿宋_GBK" w:hAnsi="方正仿宋_GBK" w:eastAsia="方正仿宋_GBK" w:cs="方正仿宋_GBK"/>
          <w:sz w:val="24"/>
          <w:szCs w:val="24"/>
          <w:highlight w:val="none"/>
          <w:lang w:val="en-US" w:eastAsia="zh-CN" w:bidi="ar-SA"/>
        </w:rPr>
        <w:tab/>
      </w:r>
      <w:r>
        <w:rPr>
          <w:rFonts w:hint="eastAsia" w:ascii="方正仿宋_GBK" w:hAnsi="方正仿宋_GBK" w:eastAsia="方正仿宋_GBK" w:cs="方正仿宋_GBK"/>
          <w:sz w:val="24"/>
          <w:szCs w:val="24"/>
          <w:highlight w:val="none"/>
          <w:lang w:val="en-US" w:eastAsia="zh-CN" w:bidi="ar-SA"/>
        </w:rPr>
        <w:t>经媒体曝光查实的；</w:t>
      </w:r>
    </w:p>
    <w:p w14:paraId="55B971E9">
      <w:pPr>
        <w:pStyle w:val="34"/>
        <w:keepNext w:val="0"/>
        <w:keepLines w:val="0"/>
        <w:pageBreakBefore w:val="0"/>
        <w:widowControl w:val="0"/>
        <w:tabs>
          <w:tab w:val="left" w:pos="744"/>
        </w:tabs>
        <w:kinsoku/>
        <w:wordWrap/>
        <w:overflowPunct/>
        <w:topLinePunct w:val="0"/>
        <w:autoSpaceDE/>
        <w:autoSpaceDN/>
        <w:bidi w:val="0"/>
        <w:adjustRightInd/>
        <w:snapToGrid/>
        <w:spacing w:line="240" w:lineRule="auto"/>
        <w:ind w:left="0" w:firstLine="480" w:firstLineChars="200"/>
        <w:jc w:val="both"/>
        <w:textAlignment w:val="auto"/>
        <w:rPr>
          <w:rFonts w:hint="eastAsia" w:ascii="方正仿宋_GBK" w:hAnsi="方正仿宋_GBK" w:eastAsia="方正仿宋_GBK" w:cs="方正仿宋_GBK"/>
          <w:sz w:val="24"/>
          <w:szCs w:val="24"/>
          <w:highlight w:val="none"/>
          <w:lang w:val="en-US" w:eastAsia="zh-CN" w:bidi="ar-SA"/>
        </w:rPr>
      </w:pPr>
      <w:bookmarkStart w:id="9" w:name="bookmark9"/>
      <w:r>
        <w:rPr>
          <w:rFonts w:hint="eastAsia" w:ascii="方正仿宋_GBK" w:hAnsi="方正仿宋_GBK" w:eastAsia="方正仿宋_GBK" w:cs="方正仿宋_GBK"/>
          <w:sz w:val="24"/>
          <w:szCs w:val="24"/>
          <w:highlight w:val="none"/>
          <w:lang w:val="en-US" w:eastAsia="zh-CN" w:bidi="ar-SA"/>
        </w:rPr>
        <w:t>3</w:t>
      </w:r>
      <w:bookmarkEnd w:id="9"/>
      <w:r>
        <w:rPr>
          <w:rFonts w:hint="eastAsia" w:ascii="方正仿宋_GBK" w:hAnsi="方正仿宋_GBK" w:eastAsia="方正仿宋_GBK" w:cs="方正仿宋_GBK"/>
          <w:sz w:val="24"/>
          <w:szCs w:val="24"/>
          <w:highlight w:val="none"/>
          <w:lang w:val="en-US" w:eastAsia="zh-CN" w:bidi="ar-SA"/>
        </w:rPr>
        <w:t>、群众举报查实的；</w:t>
      </w:r>
    </w:p>
    <w:p w14:paraId="07490FDB">
      <w:pPr>
        <w:pStyle w:val="34"/>
        <w:keepNext w:val="0"/>
        <w:keepLines w:val="0"/>
        <w:pageBreakBefore w:val="0"/>
        <w:widowControl w:val="0"/>
        <w:tabs>
          <w:tab w:val="left" w:pos="753"/>
        </w:tabs>
        <w:kinsoku/>
        <w:wordWrap/>
        <w:overflowPunct/>
        <w:topLinePunct w:val="0"/>
        <w:autoSpaceDE/>
        <w:autoSpaceDN/>
        <w:bidi w:val="0"/>
        <w:adjustRightInd/>
        <w:snapToGrid/>
        <w:spacing w:line="240" w:lineRule="auto"/>
        <w:ind w:left="0" w:firstLine="480" w:firstLineChars="200"/>
        <w:jc w:val="both"/>
        <w:textAlignment w:val="auto"/>
        <w:rPr>
          <w:rFonts w:hint="eastAsia" w:ascii="方正仿宋_GBK" w:hAnsi="方正仿宋_GBK" w:eastAsia="方正仿宋_GBK" w:cs="方正仿宋_GBK"/>
          <w:sz w:val="24"/>
          <w:szCs w:val="24"/>
          <w:highlight w:val="none"/>
          <w:lang w:val="en-US" w:eastAsia="zh-CN" w:bidi="ar-SA"/>
        </w:rPr>
      </w:pPr>
      <w:bookmarkStart w:id="10" w:name="bookmark10"/>
      <w:r>
        <w:rPr>
          <w:rFonts w:hint="eastAsia" w:ascii="方正仿宋_GBK" w:hAnsi="方正仿宋_GBK" w:eastAsia="方正仿宋_GBK" w:cs="方正仿宋_GBK"/>
          <w:sz w:val="24"/>
          <w:szCs w:val="24"/>
          <w:highlight w:val="none"/>
          <w:lang w:val="en-US" w:eastAsia="zh-CN" w:bidi="ar-SA"/>
        </w:rPr>
        <w:t>4</w:t>
      </w:r>
      <w:bookmarkEnd w:id="10"/>
      <w:r>
        <w:rPr>
          <w:rFonts w:hint="eastAsia" w:ascii="方正仿宋_GBK" w:hAnsi="方正仿宋_GBK" w:eastAsia="方正仿宋_GBK" w:cs="方正仿宋_GBK"/>
          <w:sz w:val="24"/>
          <w:szCs w:val="24"/>
          <w:highlight w:val="none"/>
          <w:lang w:val="en-US" w:eastAsia="zh-CN" w:bidi="ar-SA"/>
        </w:rPr>
        <w:t>、绿化数字化管理中失分的。</w:t>
      </w:r>
    </w:p>
    <w:p w14:paraId="4A633239">
      <w:pPr>
        <w:pStyle w:val="34"/>
        <w:keepNext w:val="0"/>
        <w:keepLines w:val="0"/>
        <w:pageBreakBefore w:val="0"/>
        <w:widowControl w:val="0"/>
        <w:tabs>
          <w:tab w:val="left" w:pos="1076"/>
        </w:tabs>
        <w:kinsoku/>
        <w:wordWrap/>
        <w:overflowPunct/>
        <w:topLinePunct w:val="0"/>
        <w:autoSpaceDE/>
        <w:autoSpaceDN/>
        <w:bidi w:val="0"/>
        <w:adjustRightInd/>
        <w:snapToGrid/>
        <w:spacing w:line="240" w:lineRule="auto"/>
        <w:ind w:left="0" w:firstLine="480" w:firstLineChars="200"/>
        <w:jc w:val="both"/>
        <w:textAlignment w:val="auto"/>
        <w:rPr>
          <w:rFonts w:hint="eastAsia" w:ascii="方正仿宋_GBK" w:hAnsi="方正仿宋_GBK" w:eastAsia="方正仿宋_GBK" w:cs="方正仿宋_GBK"/>
          <w:sz w:val="24"/>
          <w:szCs w:val="24"/>
          <w:highlight w:val="none"/>
          <w:lang w:val="en-US" w:eastAsia="zh-CN" w:bidi="ar-SA"/>
        </w:rPr>
      </w:pPr>
      <w:bookmarkStart w:id="11" w:name="bookmark11"/>
      <w:r>
        <w:rPr>
          <w:rFonts w:hint="eastAsia" w:ascii="方正仿宋_GBK" w:hAnsi="方正仿宋_GBK" w:eastAsia="方正仿宋_GBK" w:cs="方正仿宋_GBK"/>
          <w:sz w:val="24"/>
          <w:szCs w:val="24"/>
          <w:highlight w:val="none"/>
          <w:lang w:val="en-US" w:eastAsia="zh-CN" w:bidi="ar-SA"/>
        </w:rPr>
        <w:t>（</w:t>
      </w:r>
      <w:bookmarkEnd w:id="11"/>
      <w:r>
        <w:rPr>
          <w:rFonts w:hint="eastAsia" w:ascii="方正仿宋_GBK" w:hAnsi="方正仿宋_GBK" w:eastAsia="方正仿宋_GBK" w:cs="方正仿宋_GBK"/>
          <w:sz w:val="24"/>
          <w:szCs w:val="24"/>
          <w:highlight w:val="none"/>
          <w:lang w:val="en-US" w:eastAsia="zh-CN" w:bidi="ar-SA"/>
        </w:rPr>
        <w:t>四）考核分数92分为基准分值，当月考核得分率为100%，每低于1分，得分率降低一个百分点，相应扣减当月养护经费。</w:t>
      </w:r>
    </w:p>
    <w:p w14:paraId="3A147B97">
      <w:pPr>
        <w:pStyle w:val="34"/>
        <w:keepNext w:val="0"/>
        <w:keepLines w:val="0"/>
        <w:pageBreakBefore w:val="0"/>
        <w:widowControl w:val="0"/>
        <w:tabs>
          <w:tab w:val="left" w:pos="1059"/>
        </w:tabs>
        <w:kinsoku/>
        <w:wordWrap/>
        <w:overflowPunct/>
        <w:topLinePunct w:val="0"/>
        <w:autoSpaceDE/>
        <w:autoSpaceDN/>
        <w:bidi w:val="0"/>
        <w:adjustRightInd/>
        <w:snapToGrid/>
        <w:spacing w:line="240" w:lineRule="auto"/>
        <w:ind w:left="0" w:firstLine="480" w:firstLineChars="200"/>
        <w:jc w:val="both"/>
        <w:textAlignment w:val="auto"/>
        <w:rPr>
          <w:rFonts w:hint="eastAsia" w:ascii="方正仿宋_GBK" w:hAnsi="方正仿宋_GBK" w:eastAsia="方正仿宋_GBK" w:cs="方正仿宋_GBK"/>
          <w:sz w:val="24"/>
          <w:szCs w:val="24"/>
          <w:highlight w:val="none"/>
          <w:lang w:val="en-US" w:eastAsia="zh-CN" w:bidi="ar-SA"/>
        </w:rPr>
      </w:pPr>
      <w:bookmarkStart w:id="12" w:name="bookmark12"/>
      <w:r>
        <w:rPr>
          <w:rFonts w:hint="eastAsia" w:ascii="方正仿宋_GBK" w:hAnsi="方正仿宋_GBK" w:eastAsia="方正仿宋_GBK" w:cs="方正仿宋_GBK"/>
          <w:sz w:val="24"/>
          <w:szCs w:val="24"/>
          <w:highlight w:val="none"/>
          <w:lang w:val="en-US" w:eastAsia="zh-CN" w:bidi="ar-SA"/>
        </w:rPr>
        <w:t>（</w:t>
      </w:r>
      <w:bookmarkEnd w:id="12"/>
      <w:r>
        <w:rPr>
          <w:rFonts w:hint="eastAsia" w:ascii="方正仿宋_GBK" w:hAnsi="方正仿宋_GBK" w:eastAsia="方正仿宋_GBK" w:cs="方正仿宋_GBK"/>
          <w:sz w:val="24"/>
          <w:szCs w:val="24"/>
          <w:highlight w:val="none"/>
          <w:lang w:val="en-US" w:eastAsia="zh-CN" w:bidi="ar-SA"/>
        </w:rPr>
        <w:t>五）年度内月考核平均分低于91分的（含91分），每扣减1分扣减人民币50元。</w:t>
      </w:r>
    </w:p>
    <w:p w14:paraId="53C6C126">
      <w:pPr>
        <w:pStyle w:val="34"/>
        <w:keepNext w:val="0"/>
        <w:keepLines w:val="0"/>
        <w:pageBreakBefore w:val="0"/>
        <w:widowControl w:val="0"/>
        <w:tabs>
          <w:tab w:val="left" w:pos="1059"/>
        </w:tabs>
        <w:kinsoku/>
        <w:wordWrap/>
        <w:overflowPunct/>
        <w:topLinePunct w:val="0"/>
        <w:autoSpaceDE/>
        <w:autoSpaceDN/>
        <w:bidi w:val="0"/>
        <w:adjustRightInd/>
        <w:snapToGrid/>
        <w:spacing w:line="240" w:lineRule="auto"/>
        <w:ind w:left="0" w:firstLine="480" w:firstLineChars="200"/>
        <w:jc w:val="both"/>
        <w:textAlignment w:val="auto"/>
        <w:rPr>
          <w:rFonts w:hint="eastAsia" w:ascii="方正仿宋_GBK" w:hAnsi="方正仿宋_GBK" w:eastAsia="方正仿宋_GBK" w:cs="方正仿宋_GBK"/>
          <w:sz w:val="24"/>
          <w:szCs w:val="24"/>
          <w:highlight w:val="none"/>
          <w:lang w:val="en-US" w:eastAsia="zh-CN" w:bidi="ar-SA"/>
        </w:rPr>
      </w:pPr>
      <w:bookmarkStart w:id="13" w:name="bookmark13"/>
      <w:r>
        <w:rPr>
          <w:rFonts w:hint="eastAsia" w:ascii="方正仿宋_GBK" w:hAnsi="方正仿宋_GBK" w:eastAsia="方正仿宋_GBK" w:cs="方正仿宋_GBK"/>
          <w:sz w:val="24"/>
          <w:szCs w:val="24"/>
          <w:highlight w:val="none"/>
          <w:lang w:val="en-US" w:eastAsia="zh-CN" w:bidi="ar-SA"/>
        </w:rPr>
        <w:t>（</w:t>
      </w:r>
      <w:bookmarkEnd w:id="13"/>
      <w:r>
        <w:rPr>
          <w:rFonts w:hint="eastAsia" w:ascii="方正仿宋_GBK" w:hAnsi="方正仿宋_GBK" w:eastAsia="方正仿宋_GBK" w:cs="方正仿宋_GBK"/>
          <w:sz w:val="24"/>
          <w:szCs w:val="24"/>
          <w:highlight w:val="none"/>
          <w:lang w:val="en-US" w:eastAsia="zh-CN" w:bidi="ar-SA"/>
        </w:rPr>
        <w:t>六）年度考核中养护标段有三次分值低于80分的，将取消该标段中标单位养护资格。</w:t>
      </w:r>
    </w:p>
    <w:p w14:paraId="2D8B57DC">
      <w:pPr>
        <w:pStyle w:val="34"/>
        <w:keepNext w:val="0"/>
        <w:keepLines w:val="0"/>
        <w:pageBreakBefore w:val="0"/>
        <w:widowControl w:val="0"/>
        <w:tabs>
          <w:tab w:val="left" w:pos="1059"/>
        </w:tabs>
        <w:kinsoku/>
        <w:wordWrap/>
        <w:overflowPunct/>
        <w:topLinePunct w:val="0"/>
        <w:autoSpaceDE/>
        <w:autoSpaceDN/>
        <w:bidi w:val="0"/>
        <w:adjustRightInd/>
        <w:snapToGrid/>
        <w:spacing w:line="240" w:lineRule="auto"/>
        <w:ind w:left="0" w:firstLine="480" w:firstLineChars="200"/>
        <w:jc w:val="both"/>
        <w:textAlignment w:val="auto"/>
        <w:rPr>
          <w:rFonts w:hint="eastAsia" w:ascii="方正仿宋_GBK" w:hAnsi="方正仿宋_GBK" w:eastAsia="方正仿宋_GBK" w:cs="方正仿宋_GBK"/>
          <w:sz w:val="24"/>
          <w:szCs w:val="24"/>
          <w:highlight w:val="none"/>
          <w:lang w:val="en-US" w:eastAsia="zh-CN" w:bidi="ar-SA"/>
        </w:rPr>
      </w:pPr>
      <w:bookmarkStart w:id="14" w:name="bookmark14"/>
      <w:r>
        <w:rPr>
          <w:rFonts w:hint="eastAsia" w:ascii="方正仿宋_GBK" w:hAnsi="方正仿宋_GBK" w:eastAsia="方正仿宋_GBK" w:cs="方正仿宋_GBK"/>
          <w:sz w:val="24"/>
          <w:szCs w:val="24"/>
          <w:highlight w:val="none"/>
          <w:lang w:val="en-US" w:eastAsia="zh-CN" w:bidi="ar-SA"/>
        </w:rPr>
        <w:t>（</w:t>
      </w:r>
      <w:bookmarkEnd w:id="14"/>
      <w:r>
        <w:rPr>
          <w:rFonts w:hint="eastAsia" w:ascii="方正仿宋_GBK" w:hAnsi="方正仿宋_GBK" w:eastAsia="方正仿宋_GBK" w:cs="方正仿宋_GBK"/>
          <w:sz w:val="24"/>
          <w:szCs w:val="24"/>
          <w:highlight w:val="none"/>
          <w:lang w:val="en-US" w:eastAsia="zh-CN" w:bidi="ar-SA"/>
        </w:rPr>
        <w:t>七）对于考核中发现的问题，必须及时整改。整改到位后，方可核发养护费用：否则停发养护费用。</w:t>
      </w:r>
    </w:p>
    <w:p w14:paraId="451A5F56">
      <w:pPr>
        <w:pStyle w:val="34"/>
        <w:keepNext w:val="0"/>
        <w:keepLines w:val="0"/>
        <w:pageBreakBefore w:val="0"/>
        <w:widowControl w:val="0"/>
        <w:tabs>
          <w:tab w:val="left" w:pos="1059"/>
        </w:tabs>
        <w:kinsoku/>
        <w:wordWrap/>
        <w:overflowPunct/>
        <w:topLinePunct w:val="0"/>
        <w:autoSpaceDE/>
        <w:autoSpaceDN/>
        <w:bidi w:val="0"/>
        <w:adjustRightInd/>
        <w:snapToGrid/>
        <w:spacing w:line="240" w:lineRule="auto"/>
        <w:ind w:left="0" w:firstLine="480" w:firstLineChars="200"/>
        <w:jc w:val="both"/>
        <w:textAlignment w:val="auto"/>
        <w:rPr>
          <w:rFonts w:hint="eastAsia" w:ascii="方正仿宋_GBK" w:hAnsi="方正仿宋_GBK" w:eastAsia="方正仿宋_GBK" w:cs="方正仿宋_GBK"/>
          <w:sz w:val="24"/>
          <w:szCs w:val="24"/>
          <w:highlight w:val="none"/>
          <w:lang w:val="en-US" w:eastAsia="zh-CN" w:bidi="ar-SA"/>
        </w:rPr>
      </w:pPr>
      <w:bookmarkStart w:id="15" w:name="bookmark15"/>
      <w:r>
        <w:rPr>
          <w:rFonts w:hint="eastAsia" w:ascii="方正仿宋_GBK" w:hAnsi="方正仿宋_GBK" w:eastAsia="方正仿宋_GBK" w:cs="方正仿宋_GBK"/>
          <w:sz w:val="24"/>
          <w:szCs w:val="24"/>
          <w:highlight w:val="none"/>
          <w:lang w:val="en-US" w:eastAsia="zh-CN" w:bidi="ar-SA"/>
        </w:rPr>
        <w:t>（</w:t>
      </w:r>
      <w:bookmarkEnd w:id="15"/>
      <w:r>
        <w:rPr>
          <w:rFonts w:hint="eastAsia" w:ascii="方正仿宋_GBK" w:hAnsi="方正仿宋_GBK" w:eastAsia="方正仿宋_GBK" w:cs="方正仿宋_GBK"/>
          <w:sz w:val="24"/>
          <w:szCs w:val="24"/>
          <w:highlight w:val="none"/>
          <w:lang w:val="en-US" w:eastAsia="zh-CN" w:bidi="ar-SA"/>
        </w:rPr>
        <w:t>八）因养护不到位取消养护资格的，</w:t>
      </w:r>
      <w:r>
        <w:rPr>
          <w:rFonts w:hint="eastAsia" w:ascii="方正仿宋_GBK" w:hAnsi="方正仿宋_GBK" w:eastAsia="方正仿宋_GBK" w:cs="方正仿宋_GBK"/>
          <w:sz w:val="24"/>
          <w:szCs w:val="24"/>
          <w:highlight w:val="none"/>
          <w:lang w:val="zh-CN" w:eastAsia="zh-CN" w:bidi="ar-SA"/>
        </w:rPr>
        <w:t>一律</w:t>
      </w:r>
      <w:r>
        <w:rPr>
          <w:rFonts w:hint="eastAsia" w:ascii="方正仿宋_GBK" w:hAnsi="方正仿宋_GBK" w:eastAsia="方正仿宋_GBK" w:cs="方正仿宋_GBK"/>
          <w:sz w:val="24"/>
          <w:szCs w:val="24"/>
          <w:highlight w:val="none"/>
          <w:lang w:val="en-US" w:eastAsia="zh-CN" w:bidi="ar-SA"/>
        </w:rPr>
        <w:t>不得参加下一轮绿地市场化养护招投标。</w:t>
      </w:r>
    </w:p>
    <w:p w14:paraId="41EEABF3">
      <w:pPr>
        <w:pStyle w:val="34"/>
        <w:keepNext w:val="0"/>
        <w:keepLines w:val="0"/>
        <w:pageBreakBefore w:val="0"/>
        <w:widowControl w:val="0"/>
        <w:kinsoku/>
        <w:wordWrap/>
        <w:overflowPunct/>
        <w:topLinePunct w:val="0"/>
        <w:autoSpaceDE/>
        <w:autoSpaceDN/>
        <w:bidi w:val="0"/>
        <w:adjustRightInd/>
        <w:snapToGrid/>
        <w:spacing w:line="240" w:lineRule="auto"/>
        <w:ind w:left="0" w:firstLine="480" w:firstLineChars="200"/>
        <w:jc w:val="both"/>
        <w:textAlignment w:val="auto"/>
        <w:rPr>
          <w:rFonts w:eastAsia="等线" w:cs="Times New Roman"/>
          <w:sz w:val="21"/>
          <w:szCs w:val="21"/>
          <w:highlight w:val="none"/>
          <w:lang w:val="en-US" w:eastAsia="zh-CN" w:bidi="ar-SA"/>
        </w:rPr>
      </w:pPr>
      <w:bookmarkStart w:id="16" w:name="bookmark16"/>
      <w:r>
        <w:rPr>
          <w:rFonts w:hint="eastAsia" w:ascii="方正仿宋_GBK" w:hAnsi="方正仿宋_GBK" w:eastAsia="方正仿宋_GBK" w:cs="方正仿宋_GBK"/>
          <w:sz w:val="24"/>
          <w:szCs w:val="24"/>
          <w:highlight w:val="none"/>
          <w:lang w:val="en-US" w:eastAsia="zh-CN" w:bidi="ar-SA"/>
        </w:rPr>
        <w:t>六</w:t>
      </w:r>
      <w:bookmarkEnd w:id="16"/>
      <w:r>
        <w:rPr>
          <w:rFonts w:hint="eastAsia" w:ascii="方正仿宋_GBK" w:hAnsi="方正仿宋_GBK" w:eastAsia="方正仿宋_GBK" w:cs="方正仿宋_GBK"/>
          <w:sz w:val="24"/>
          <w:szCs w:val="24"/>
          <w:highlight w:val="none"/>
          <w:lang w:val="en-US" w:eastAsia="zh-CN" w:bidi="ar-SA"/>
        </w:rPr>
        <w:t>、本办法解释权归扬州市上善建设工程有限公司。</w:t>
      </w:r>
      <w:bookmarkStart w:id="17" w:name="_GoBack"/>
      <w:bookmarkEnd w:id="17"/>
    </w:p>
    <w:p w14:paraId="1F9B20CF">
      <w:pPr>
        <w:jc w:val="both"/>
        <w:rPr>
          <w:highlight w:val="none"/>
        </w:rPr>
      </w:pPr>
      <w:r>
        <w:rPr>
          <w:highlight w:val="none"/>
        </w:rPr>
        <w:br w:type="page"/>
      </w:r>
    </w:p>
    <w:tbl>
      <w:tblPr>
        <w:tblStyle w:val="18"/>
        <w:tblW w:w="0" w:type="auto"/>
        <w:jc w:val="center"/>
        <w:tblLayout w:type="fixed"/>
        <w:tblCellMar>
          <w:top w:w="0" w:type="dxa"/>
          <w:left w:w="108" w:type="dxa"/>
          <w:bottom w:w="0" w:type="dxa"/>
          <w:right w:w="108" w:type="dxa"/>
        </w:tblCellMar>
      </w:tblPr>
      <w:tblGrid>
        <w:gridCol w:w="1108"/>
        <w:gridCol w:w="2949"/>
        <w:gridCol w:w="3084"/>
        <w:gridCol w:w="725"/>
        <w:gridCol w:w="2034"/>
        <w:tblGridChange w:id="0">
          <w:tblGrid>
            <w:gridCol w:w="900"/>
            <w:gridCol w:w="208"/>
            <w:gridCol w:w="2672"/>
            <w:gridCol w:w="277"/>
            <w:gridCol w:w="2783"/>
            <w:gridCol w:w="301"/>
            <w:gridCol w:w="419"/>
            <w:gridCol w:w="306"/>
            <w:gridCol w:w="2034"/>
          </w:tblGrid>
        </w:tblGridChange>
      </w:tblGrid>
      <w:tr w14:paraId="52CA3590">
        <w:tblPrEx>
          <w:tblCellMar>
            <w:top w:w="0" w:type="dxa"/>
            <w:left w:w="108" w:type="dxa"/>
            <w:bottom w:w="0" w:type="dxa"/>
            <w:right w:w="108" w:type="dxa"/>
          </w:tblCellMar>
        </w:tblPrEx>
        <w:trPr>
          <w:trHeight w:val="484" w:hRule="atLeast"/>
          <w:jc w:val="center"/>
        </w:trPr>
        <w:tc>
          <w:tcPr>
            <w:tcW w:w="9900" w:type="dxa"/>
            <w:gridSpan w:val="5"/>
            <w:tcBorders>
              <w:top w:val="nil"/>
              <w:left w:val="nil"/>
              <w:bottom w:val="single" w:color="auto" w:sz="4" w:space="0"/>
              <w:right w:val="nil"/>
            </w:tcBorders>
            <w:noWrap w:val="0"/>
            <w:vAlign w:val="center"/>
          </w:tcPr>
          <w:p w14:paraId="4079EFEC">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附件：</w:t>
            </w:r>
          </w:p>
          <w:p w14:paraId="3511980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Cs w:val="21"/>
                <w:highlight w:val="none"/>
              </w:rPr>
            </w:pPr>
            <w:r>
              <w:rPr>
                <w:rFonts w:hint="eastAsia" w:ascii="宋体" w:hAnsi="宋体" w:eastAsia="宋体" w:cs="宋体"/>
                <w:sz w:val="32"/>
                <w:szCs w:val="32"/>
                <w:highlight w:val="none"/>
              </w:rPr>
              <w:t>扬州市城市绿地养护管理考核细则</w:t>
            </w:r>
          </w:p>
          <w:p w14:paraId="367B005B">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ascii="宋体" w:hAnsi="宋体" w:cs="宋体"/>
                <w:szCs w:val="21"/>
                <w:highlight w:val="none"/>
              </w:rPr>
            </w:pPr>
            <w:r>
              <w:rPr>
                <w:rFonts w:hint="eastAsia" w:ascii="宋体" w:hAnsi="宋体" w:eastAsia="宋体" w:cs="宋体"/>
                <w:szCs w:val="21"/>
                <w:highlight w:val="none"/>
              </w:rPr>
              <w:t xml:space="preserve">考核时间：      年     月     日      考核人：                </w:t>
            </w:r>
            <w:r>
              <w:rPr>
                <w:rFonts w:hint="eastAsia" w:ascii="宋体" w:hAnsi="宋体" w:eastAsia="宋体" w:cs="宋体"/>
                <w:szCs w:val="21"/>
                <w:highlight w:val="none"/>
                <w:lang w:val="en-US" w:eastAsia="zh-CN"/>
              </w:rPr>
              <w:t xml:space="preserve">     </w:t>
            </w:r>
            <w:r>
              <w:rPr>
                <w:rFonts w:hint="eastAsia" w:ascii="宋体" w:hAnsi="宋体" w:eastAsia="宋体" w:cs="宋体"/>
                <w:szCs w:val="21"/>
                <w:highlight w:val="none"/>
              </w:rPr>
              <w:t xml:space="preserve"> 得分</w:t>
            </w:r>
            <w:r>
              <w:rPr>
                <w:rFonts w:hint="eastAsia" w:ascii="宋体" w:hAnsi="宋体" w:eastAsia="宋体" w:cs="宋体"/>
                <w:szCs w:val="21"/>
                <w:highlight w:val="none"/>
                <w:lang w:eastAsia="zh-CN"/>
              </w:rPr>
              <w:t>：</w:t>
            </w:r>
            <w:r>
              <w:rPr>
                <w:rFonts w:hint="eastAsia" w:ascii="宋体" w:hAnsi="宋体" w:eastAsia="宋体" w:cs="宋体"/>
                <w:szCs w:val="21"/>
                <w:highlight w:val="none"/>
              </w:rPr>
              <w:t xml:space="preserve">   </w:t>
            </w:r>
          </w:p>
        </w:tc>
      </w:tr>
      <w:tr w14:paraId="46337A6C">
        <w:tblPrEx>
          <w:tblCellMar>
            <w:top w:w="0" w:type="dxa"/>
            <w:left w:w="108" w:type="dxa"/>
            <w:bottom w:w="0" w:type="dxa"/>
            <w:right w:w="108" w:type="dxa"/>
          </w:tblCellMar>
        </w:tblPrEx>
        <w:trPr>
          <w:trHeight w:val="605" w:hRule="atLeast"/>
          <w:jc w:val="center"/>
        </w:trPr>
        <w:tc>
          <w:tcPr>
            <w:tcW w:w="1108" w:type="dxa"/>
            <w:tcBorders>
              <w:top w:val="single" w:color="auto" w:sz="4" w:space="0"/>
              <w:left w:val="single" w:color="auto" w:sz="4" w:space="0"/>
              <w:bottom w:val="single" w:color="auto" w:sz="4" w:space="0"/>
              <w:right w:val="single" w:color="auto" w:sz="4" w:space="0"/>
            </w:tcBorders>
            <w:noWrap w:val="0"/>
            <w:vAlign w:val="center"/>
          </w:tcPr>
          <w:p w14:paraId="6A47FC75">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cs="宋体"/>
                <w:szCs w:val="21"/>
                <w:highlight w:val="none"/>
              </w:rPr>
            </w:pPr>
            <w:r>
              <w:rPr>
                <w:rFonts w:hint="eastAsia" w:ascii="宋体" w:hAnsi="宋体" w:cs="宋体"/>
                <w:szCs w:val="21"/>
                <w:highlight w:val="none"/>
              </w:rPr>
              <w:t>项目名称</w:t>
            </w:r>
          </w:p>
        </w:tc>
        <w:tc>
          <w:tcPr>
            <w:tcW w:w="2949" w:type="dxa"/>
            <w:tcBorders>
              <w:top w:val="single" w:color="auto" w:sz="4" w:space="0"/>
              <w:left w:val="nil"/>
              <w:bottom w:val="single" w:color="auto" w:sz="4" w:space="0"/>
              <w:right w:val="single" w:color="auto" w:sz="4" w:space="0"/>
            </w:tcBorders>
            <w:noWrap w:val="0"/>
            <w:vAlign w:val="center"/>
          </w:tcPr>
          <w:p w14:paraId="3EEC25C3">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cs="宋体"/>
                <w:szCs w:val="21"/>
                <w:highlight w:val="none"/>
              </w:rPr>
            </w:pPr>
            <w:r>
              <w:rPr>
                <w:rFonts w:hint="eastAsia" w:ascii="宋体" w:hAnsi="宋体" w:cs="宋体"/>
                <w:szCs w:val="21"/>
                <w:highlight w:val="none"/>
              </w:rPr>
              <w:t>考核细则及工作要求</w:t>
            </w:r>
          </w:p>
        </w:tc>
        <w:tc>
          <w:tcPr>
            <w:tcW w:w="3084" w:type="dxa"/>
            <w:tcBorders>
              <w:top w:val="single" w:color="auto" w:sz="4" w:space="0"/>
              <w:left w:val="nil"/>
              <w:bottom w:val="single" w:color="auto" w:sz="4" w:space="0"/>
              <w:right w:val="single" w:color="auto" w:sz="4" w:space="0"/>
            </w:tcBorders>
            <w:noWrap w:val="0"/>
            <w:vAlign w:val="center"/>
          </w:tcPr>
          <w:p w14:paraId="4327AAF3">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cs="宋体"/>
                <w:szCs w:val="21"/>
                <w:highlight w:val="none"/>
              </w:rPr>
            </w:pPr>
            <w:r>
              <w:rPr>
                <w:rFonts w:hint="eastAsia" w:ascii="宋体" w:hAnsi="宋体" w:cs="宋体"/>
                <w:szCs w:val="21"/>
                <w:highlight w:val="none"/>
              </w:rPr>
              <w:t>扣分标准</w:t>
            </w:r>
          </w:p>
        </w:tc>
        <w:tc>
          <w:tcPr>
            <w:tcW w:w="725" w:type="dxa"/>
            <w:tcBorders>
              <w:top w:val="single" w:color="auto" w:sz="4" w:space="0"/>
              <w:left w:val="nil"/>
              <w:bottom w:val="single" w:color="auto" w:sz="4" w:space="0"/>
              <w:right w:val="single" w:color="auto" w:sz="4" w:space="0"/>
            </w:tcBorders>
            <w:noWrap w:val="0"/>
            <w:vAlign w:val="center"/>
          </w:tcPr>
          <w:p w14:paraId="55602024">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cs="宋体"/>
                <w:szCs w:val="21"/>
                <w:highlight w:val="none"/>
              </w:rPr>
            </w:pPr>
            <w:r>
              <w:rPr>
                <w:rFonts w:hint="eastAsia" w:ascii="宋体" w:hAnsi="宋体" w:cs="宋体"/>
                <w:szCs w:val="21"/>
                <w:highlight w:val="none"/>
              </w:rPr>
              <w:t>扣分</w:t>
            </w:r>
          </w:p>
        </w:tc>
        <w:tc>
          <w:tcPr>
            <w:tcW w:w="2034" w:type="dxa"/>
            <w:tcBorders>
              <w:top w:val="single" w:color="auto" w:sz="4" w:space="0"/>
              <w:left w:val="nil"/>
              <w:bottom w:val="single" w:color="auto" w:sz="4" w:space="0"/>
              <w:right w:val="single" w:color="auto" w:sz="4" w:space="0"/>
            </w:tcBorders>
            <w:noWrap w:val="0"/>
            <w:vAlign w:val="center"/>
          </w:tcPr>
          <w:p w14:paraId="5A21C962">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cs="宋体"/>
                <w:szCs w:val="21"/>
                <w:highlight w:val="none"/>
              </w:rPr>
            </w:pPr>
            <w:r>
              <w:rPr>
                <w:rFonts w:hint="eastAsia" w:ascii="宋体" w:hAnsi="宋体" w:cs="宋体"/>
                <w:szCs w:val="21"/>
                <w:highlight w:val="none"/>
              </w:rPr>
              <w:t>扣分说明</w:t>
            </w:r>
          </w:p>
        </w:tc>
      </w:tr>
      <w:tr w14:paraId="0776B8DD">
        <w:tblPrEx>
          <w:tblCellMar>
            <w:top w:w="0" w:type="dxa"/>
            <w:left w:w="108" w:type="dxa"/>
            <w:bottom w:w="0" w:type="dxa"/>
            <w:right w:w="108" w:type="dxa"/>
          </w:tblCellMar>
        </w:tblPrEx>
        <w:trPr>
          <w:trHeight w:val="598" w:hRule="atLeast"/>
          <w:jc w:val="center"/>
        </w:trPr>
        <w:tc>
          <w:tcPr>
            <w:tcW w:w="1108" w:type="dxa"/>
            <w:vMerge w:val="restart"/>
            <w:tcBorders>
              <w:top w:val="single" w:color="auto" w:sz="4" w:space="0"/>
              <w:left w:val="single" w:color="auto" w:sz="4" w:space="0"/>
              <w:bottom w:val="single" w:color="auto" w:sz="4" w:space="0"/>
              <w:right w:val="single" w:color="auto" w:sz="4" w:space="0"/>
            </w:tcBorders>
            <w:noWrap w:val="0"/>
            <w:vAlign w:val="center"/>
          </w:tcPr>
          <w:p w14:paraId="51DCB396">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cs="宋体"/>
                <w:szCs w:val="21"/>
                <w:highlight w:val="none"/>
              </w:rPr>
            </w:pPr>
            <w:r>
              <w:rPr>
                <w:rFonts w:hint="eastAsia" w:ascii="宋体" w:hAnsi="宋体" w:cs="宋体"/>
                <w:szCs w:val="21"/>
                <w:highlight w:val="none"/>
              </w:rPr>
              <w:t>修剪</w:t>
            </w:r>
          </w:p>
          <w:p w14:paraId="01690861">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cs="宋体"/>
                <w:szCs w:val="21"/>
                <w:highlight w:val="none"/>
              </w:rPr>
            </w:pPr>
            <w:r>
              <w:rPr>
                <w:rFonts w:hint="eastAsia" w:ascii="宋体" w:hAnsi="宋体" w:cs="宋体"/>
                <w:szCs w:val="21"/>
                <w:highlight w:val="none"/>
              </w:rPr>
              <w:t>剥芽</w:t>
            </w:r>
          </w:p>
          <w:p w14:paraId="2F215206">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cs="宋体"/>
                <w:szCs w:val="21"/>
                <w:highlight w:val="none"/>
              </w:rPr>
            </w:pPr>
            <w:r>
              <w:rPr>
                <w:rFonts w:hint="eastAsia" w:ascii="宋体" w:hAnsi="宋体" w:cs="宋体"/>
                <w:szCs w:val="21"/>
                <w:highlight w:val="none"/>
              </w:rPr>
              <w:t>（15分）</w:t>
            </w:r>
          </w:p>
        </w:tc>
        <w:tc>
          <w:tcPr>
            <w:tcW w:w="2949" w:type="dxa"/>
            <w:vMerge w:val="restart"/>
            <w:tcBorders>
              <w:top w:val="single" w:color="auto" w:sz="4" w:space="0"/>
              <w:left w:val="nil"/>
              <w:bottom w:val="single" w:color="auto" w:sz="4" w:space="0"/>
              <w:right w:val="single" w:color="auto" w:sz="4" w:space="0"/>
            </w:tcBorders>
            <w:noWrap w:val="0"/>
            <w:vAlign w:val="center"/>
          </w:tcPr>
          <w:p w14:paraId="40C023DB">
            <w:pPr>
              <w:keepNext w:val="0"/>
              <w:keepLines w:val="0"/>
              <w:pageBreakBefore w:val="0"/>
              <w:kinsoku/>
              <w:wordWrap/>
              <w:overflowPunct/>
              <w:topLinePunct w:val="0"/>
              <w:autoSpaceDE/>
              <w:autoSpaceDN/>
              <w:bidi w:val="0"/>
              <w:adjustRightInd/>
              <w:snapToGrid/>
              <w:spacing w:line="240" w:lineRule="auto"/>
              <w:jc w:val="left"/>
              <w:textAlignment w:val="auto"/>
              <w:rPr>
                <w:rFonts w:ascii="宋体" w:hAnsi="宋体" w:cs="宋体"/>
                <w:szCs w:val="21"/>
                <w:highlight w:val="none"/>
              </w:rPr>
            </w:pPr>
            <w:r>
              <w:rPr>
                <w:rFonts w:hint="eastAsia" w:ascii="宋体" w:hAnsi="宋体" w:cs="宋体"/>
                <w:szCs w:val="21"/>
                <w:highlight w:val="none"/>
              </w:rPr>
              <w:t>乔木（行道树）</w:t>
            </w:r>
          </w:p>
          <w:p w14:paraId="7914CBE3">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宋体" w:hAnsi="宋体" w:cs="宋体"/>
                <w:szCs w:val="21"/>
                <w:highlight w:val="none"/>
              </w:rPr>
            </w:pPr>
            <w:r>
              <w:rPr>
                <w:rFonts w:hint="eastAsia" w:ascii="宋体" w:hAnsi="宋体" w:cs="宋体"/>
                <w:szCs w:val="21"/>
                <w:highlight w:val="none"/>
              </w:rPr>
              <w:t xml:space="preserve">1、根据树木生长习性，及时修剪定形，截口平整，不拉伤树皮，截口涂抹防腐剂；无枯枝危枝，生长季节无异常黄叶；                  </w:t>
            </w:r>
          </w:p>
          <w:p w14:paraId="74CAB5E7">
            <w:pPr>
              <w:keepNext w:val="0"/>
              <w:keepLines w:val="0"/>
              <w:pageBreakBefore w:val="0"/>
              <w:kinsoku/>
              <w:wordWrap/>
              <w:overflowPunct/>
              <w:topLinePunct w:val="0"/>
              <w:autoSpaceDE/>
              <w:autoSpaceDN/>
              <w:bidi w:val="0"/>
              <w:adjustRightInd/>
              <w:snapToGrid/>
              <w:spacing w:line="240" w:lineRule="auto"/>
              <w:jc w:val="left"/>
              <w:textAlignment w:val="auto"/>
              <w:rPr>
                <w:rFonts w:ascii="宋体" w:hAnsi="宋体" w:cs="宋体"/>
                <w:szCs w:val="21"/>
                <w:highlight w:val="none"/>
              </w:rPr>
            </w:pPr>
            <w:r>
              <w:rPr>
                <w:rFonts w:hint="eastAsia" w:ascii="宋体" w:hAnsi="宋体" w:cs="宋体"/>
                <w:szCs w:val="21"/>
                <w:highlight w:val="none"/>
              </w:rPr>
              <w:t xml:space="preserve">2、同一路段相同树种的行道树,树形留养一致，枝条分布均匀； </w:t>
            </w:r>
          </w:p>
          <w:p w14:paraId="124617FC">
            <w:pPr>
              <w:keepNext w:val="0"/>
              <w:keepLines w:val="0"/>
              <w:pageBreakBefore w:val="0"/>
              <w:kinsoku/>
              <w:wordWrap/>
              <w:overflowPunct/>
              <w:topLinePunct w:val="0"/>
              <w:autoSpaceDE/>
              <w:autoSpaceDN/>
              <w:bidi w:val="0"/>
              <w:adjustRightInd/>
              <w:snapToGrid/>
              <w:spacing w:line="240" w:lineRule="auto"/>
              <w:jc w:val="left"/>
              <w:textAlignment w:val="auto"/>
              <w:rPr>
                <w:rFonts w:ascii="宋体" w:hAnsi="宋体" w:cs="宋体"/>
                <w:szCs w:val="21"/>
                <w:highlight w:val="none"/>
              </w:rPr>
            </w:pPr>
            <w:r>
              <w:rPr>
                <w:rFonts w:hint="eastAsia" w:ascii="宋体" w:hAnsi="宋体" w:cs="宋体"/>
                <w:szCs w:val="21"/>
                <w:highlight w:val="none"/>
              </w:rPr>
              <w:t>3、妥善处理树线、树屋矛盾，无事故隐患；</w:t>
            </w:r>
          </w:p>
          <w:p w14:paraId="716A91EB">
            <w:pPr>
              <w:keepNext w:val="0"/>
              <w:keepLines w:val="0"/>
              <w:pageBreakBefore w:val="0"/>
              <w:kinsoku/>
              <w:wordWrap/>
              <w:overflowPunct/>
              <w:topLinePunct w:val="0"/>
              <w:autoSpaceDE/>
              <w:autoSpaceDN/>
              <w:bidi w:val="0"/>
              <w:adjustRightInd/>
              <w:snapToGrid/>
              <w:spacing w:line="240" w:lineRule="auto"/>
              <w:jc w:val="left"/>
              <w:textAlignment w:val="auto"/>
              <w:rPr>
                <w:rFonts w:ascii="宋体" w:hAnsi="宋体" w:cs="宋体"/>
                <w:szCs w:val="21"/>
                <w:highlight w:val="none"/>
              </w:rPr>
            </w:pPr>
            <w:r>
              <w:rPr>
                <w:rFonts w:hint="eastAsia" w:ascii="宋体" w:hAnsi="宋体" w:cs="宋体"/>
                <w:szCs w:val="21"/>
                <w:highlight w:val="none"/>
              </w:rPr>
              <w:t>4、根据树种确定剥芽次数及剥芽部位。剥芽需及时，芽长不超过10cm；剥芽时不允许拉伤树皮。</w:t>
            </w:r>
          </w:p>
        </w:tc>
        <w:tc>
          <w:tcPr>
            <w:tcW w:w="3084" w:type="dxa"/>
            <w:tcBorders>
              <w:top w:val="single" w:color="auto" w:sz="4" w:space="0"/>
              <w:left w:val="nil"/>
              <w:bottom w:val="single" w:color="auto" w:sz="4" w:space="0"/>
              <w:right w:val="single" w:color="auto" w:sz="4" w:space="0"/>
            </w:tcBorders>
            <w:noWrap w:val="0"/>
            <w:vAlign w:val="center"/>
          </w:tcPr>
          <w:p w14:paraId="6155224C">
            <w:pPr>
              <w:keepNext w:val="0"/>
              <w:keepLines w:val="0"/>
              <w:pageBreakBefore w:val="0"/>
              <w:kinsoku/>
              <w:wordWrap/>
              <w:overflowPunct/>
              <w:topLinePunct w:val="0"/>
              <w:autoSpaceDE/>
              <w:autoSpaceDN/>
              <w:bidi w:val="0"/>
              <w:adjustRightInd/>
              <w:snapToGrid/>
              <w:spacing w:line="240" w:lineRule="auto"/>
              <w:jc w:val="left"/>
              <w:textAlignment w:val="auto"/>
              <w:rPr>
                <w:rFonts w:ascii="宋体" w:hAnsi="宋体" w:cs="宋体"/>
                <w:szCs w:val="21"/>
                <w:highlight w:val="none"/>
              </w:rPr>
            </w:pPr>
            <w:r>
              <w:rPr>
                <w:rFonts w:hint="eastAsia" w:ascii="宋体" w:hAnsi="宋体" w:cs="宋体"/>
                <w:szCs w:val="21"/>
                <w:highlight w:val="none"/>
              </w:rPr>
              <w:t>（1）发现树皮拉伤或有异常枯黄枝叶等现象，每株每次扣0.5分。</w:t>
            </w:r>
          </w:p>
        </w:tc>
        <w:tc>
          <w:tcPr>
            <w:tcW w:w="725" w:type="dxa"/>
            <w:tcBorders>
              <w:top w:val="nil"/>
              <w:left w:val="nil"/>
              <w:bottom w:val="single" w:color="auto" w:sz="4" w:space="0"/>
              <w:right w:val="single" w:color="auto" w:sz="4" w:space="0"/>
            </w:tcBorders>
            <w:noWrap w:val="0"/>
            <w:vAlign w:val="center"/>
          </w:tcPr>
          <w:p w14:paraId="5D7D6D9F">
            <w:pPr>
              <w:keepNext w:val="0"/>
              <w:keepLines w:val="0"/>
              <w:pageBreakBefore w:val="0"/>
              <w:kinsoku/>
              <w:wordWrap/>
              <w:overflowPunct/>
              <w:topLinePunct w:val="0"/>
              <w:autoSpaceDE/>
              <w:autoSpaceDN/>
              <w:bidi w:val="0"/>
              <w:adjustRightInd/>
              <w:snapToGrid/>
              <w:spacing w:line="240" w:lineRule="auto"/>
              <w:ind w:firstLine="420" w:firstLineChars="200"/>
              <w:jc w:val="left"/>
              <w:textAlignment w:val="auto"/>
              <w:rPr>
                <w:rFonts w:ascii="宋体" w:hAnsi="宋体" w:cs="宋体"/>
                <w:szCs w:val="21"/>
                <w:highlight w:val="none"/>
              </w:rPr>
            </w:pPr>
          </w:p>
        </w:tc>
        <w:tc>
          <w:tcPr>
            <w:tcW w:w="2034" w:type="dxa"/>
            <w:tcBorders>
              <w:top w:val="nil"/>
              <w:left w:val="nil"/>
              <w:bottom w:val="single" w:color="auto" w:sz="4" w:space="0"/>
              <w:right w:val="single" w:color="auto" w:sz="4" w:space="0"/>
            </w:tcBorders>
            <w:noWrap w:val="0"/>
            <w:vAlign w:val="center"/>
          </w:tcPr>
          <w:p w14:paraId="5C1679E8">
            <w:pPr>
              <w:keepNext w:val="0"/>
              <w:keepLines w:val="0"/>
              <w:pageBreakBefore w:val="0"/>
              <w:kinsoku/>
              <w:wordWrap/>
              <w:overflowPunct/>
              <w:topLinePunct w:val="0"/>
              <w:autoSpaceDE/>
              <w:autoSpaceDN/>
              <w:bidi w:val="0"/>
              <w:adjustRightInd/>
              <w:snapToGrid/>
              <w:spacing w:line="240" w:lineRule="auto"/>
              <w:ind w:firstLine="420" w:firstLineChars="200"/>
              <w:jc w:val="left"/>
              <w:textAlignment w:val="auto"/>
              <w:rPr>
                <w:rFonts w:ascii="宋体" w:hAnsi="宋体" w:cs="宋体"/>
                <w:szCs w:val="21"/>
                <w:highlight w:val="none"/>
              </w:rPr>
            </w:pPr>
          </w:p>
        </w:tc>
      </w:tr>
      <w:tr w14:paraId="4231B553">
        <w:tblPrEx>
          <w:tblCellMar>
            <w:top w:w="0" w:type="dxa"/>
            <w:left w:w="108" w:type="dxa"/>
            <w:bottom w:w="0" w:type="dxa"/>
            <w:right w:w="108" w:type="dxa"/>
          </w:tblCellMar>
        </w:tblPrEx>
        <w:trPr>
          <w:trHeight w:val="762" w:hRule="atLeast"/>
          <w:jc w:val="center"/>
        </w:trPr>
        <w:tc>
          <w:tcPr>
            <w:tcW w:w="1108" w:type="dxa"/>
            <w:vMerge w:val="continue"/>
            <w:tcBorders>
              <w:top w:val="single" w:color="auto" w:sz="4" w:space="0"/>
              <w:left w:val="single" w:color="auto" w:sz="4" w:space="0"/>
              <w:bottom w:val="single" w:color="auto" w:sz="4" w:space="0"/>
              <w:right w:val="single" w:color="auto" w:sz="4" w:space="0"/>
            </w:tcBorders>
            <w:noWrap w:val="0"/>
            <w:vAlign w:val="center"/>
          </w:tcPr>
          <w:p w14:paraId="5A9AF098">
            <w:pPr>
              <w:keepNext w:val="0"/>
              <w:keepLines w:val="0"/>
              <w:pageBreakBefore w:val="0"/>
              <w:kinsoku/>
              <w:wordWrap/>
              <w:overflowPunct/>
              <w:topLinePunct w:val="0"/>
              <w:autoSpaceDE/>
              <w:autoSpaceDN/>
              <w:bidi w:val="0"/>
              <w:adjustRightInd/>
              <w:snapToGrid/>
              <w:spacing w:line="240" w:lineRule="auto"/>
              <w:ind w:firstLine="420" w:firstLineChars="200"/>
              <w:jc w:val="both"/>
              <w:textAlignment w:val="auto"/>
              <w:rPr>
                <w:rFonts w:ascii="宋体" w:hAnsi="宋体" w:cs="宋体"/>
                <w:szCs w:val="21"/>
                <w:highlight w:val="none"/>
              </w:rPr>
            </w:pPr>
          </w:p>
        </w:tc>
        <w:tc>
          <w:tcPr>
            <w:tcW w:w="2949" w:type="dxa"/>
            <w:vMerge w:val="continue"/>
            <w:tcBorders>
              <w:top w:val="single" w:color="auto" w:sz="4" w:space="0"/>
              <w:left w:val="nil"/>
              <w:bottom w:val="single" w:color="auto" w:sz="4" w:space="0"/>
              <w:right w:val="single" w:color="auto" w:sz="4" w:space="0"/>
            </w:tcBorders>
            <w:noWrap w:val="0"/>
            <w:vAlign w:val="center"/>
          </w:tcPr>
          <w:p w14:paraId="6DF6BE5E">
            <w:pPr>
              <w:keepNext w:val="0"/>
              <w:keepLines w:val="0"/>
              <w:pageBreakBefore w:val="0"/>
              <w:kinsoku/>
              <w:wordWrap/>
              <w:overflowPunct/>
              <w:topLinePunct w:val="0"/>
              <w:autoSpaceDE/>
              <w:autoSpaceDN/>
              <w:bidi w:val="0"/>
              <w:adjustRightInd/>
              <w:snapToGrid/>
              <w:spacing w:line="240" w:lineRule="auto"/>
              <w:ind w:firstLine="420" w:firstLineChars="200"/>
              <w:jc w:val="left"/>
              <w:textAlignment w:val="auto"/>
              <w:rPr>
                <w:rFonts w:ascii="宋体" w:hAnsi="宋体" w:cs="宋体"/>
                <w:szCs w:val="21"/>
                <w:highlight w:val="none"/>
              </w:rPr>
            </w:pPr>
          </w:p>
        </w:tc>
        <w:tc>
          <w:tcPr>
            <w:tcW w:w="3084" w:type="dxa"/>
            <w:tcBorders>
              <w:top w:val="single" w:color="auto" w:sz="4" w:space="0"/>
              <w:left w:val="nil"/>
              <w:bottom w:val="single" w:color="auto" w:sz="4" w:space="0"/>
              <w:right w:val="single" w:color="auto" w:sz="4" w:space="0"/>
            </w:tcBorders>
            <w:noWrap w:val="0"/>
            <w:vAlign w:val="center"/>
          </w:tcPr>
          <w:p w14:paraId="58DAD57F">
            <w:pPr>
              <w:keepNext w:val="0"/>
              <w:keepLines w:val="0"/>
              <w:pageBreakBefore w:val="0"/>
              <w:kinsoku/>
              <w:wordWrap/>
              <w:overflowPunct/>
              <w:topLinePunct w:val="0"/>
              <w:autoSpaceDE/>
              <w:autoSpaceDN/>
              <w:bidi w:val="0"/>
              <w:adjustRightInd/>
              <w:snapToGrid/>
              <w:spacing w:line="240" w:lineRule="auto"/>
              <w:jc w:val="left"/>
              <w:textAlignment w:val="auto"/>
              <w:rPr>
                <w:rFonts w:ascii="宋体" w:hAnsi="宋体" w:cs="宋体"/>
                <w:szCs w:val="21"/>
                <w:highlight w:val="none"/>
              </w:rPr>
            </w:pPr>
            <w:r>
              <w:rPr>
                <w:rFonts w:hint="eastAsia" w:ascii="宋体" w:hAnsi="宋体" w:cs="宋体"/>
                <w:szCs w:val="21"/>
                <w:highlight w:val="none"/>
              </w:rPr>
              <w:t>（2）发现未按树种要求修剪，每株每次扣1分。</w:t>
            </w:r>
          </w:p>
        </w:tc>
        <w:tc>
          <w:tcPr>
            <w:tcW w:w="725" w:type="dxa"/>
            <w:tcBorders>
              <w:top w:val="single" w:color="auto" w:sz="4" w:space="0"/>
              <w:left w:val="nil"/>
              <w:bottom w:val="single" w:color="auto" w:sz="4" w:space="0"/>
              <w:right w:val="single" w:color="auto" w:sz="4" w:space="0"/>
            </w:tcBorders>
            <w:noWrap w:val="0"/>
            <w:vAlign w:val="center"/>
          </w:tcPr>
          <w:p w14:paraId="43CFE649">
            <w:pPr>
              <w:keepNext w:val="0"/>
              <w:keepLines w:val="0"/>
              <w:pageBreakBefore w:val="0"/>
              <w:kinsoku/>
              <w:wordWrap/>
              <w:overflowPunct/>
              <w:topLinePunct w:val="0"/>
              <w:autoSpaceDE/>
              <w:autoSpaceDN/>
              <w:bidi w:val="0"/>
              <w:adjustRightInd/>
              <w:snapToGrid/>
              <w:spacing w:line="240" w:lineRule="auto"/>
              <w:ind w:firstLine="420" w:firstLineChars="200"/>
              <w:jc w:val="left"/>
              <w:textAlignment w:val="auto"/>
              <w:rPr>
                <w:rFonts w:ascii="宋体" w:hAnsi="宋体" w:cs="宋体"/>
                <w:szCs w:val="21"/>
                <w:highlight w:val="none"/>
              </w:rPr>
            </w:pPr>
          </w:p>
        </w:tc>
        <w:tc>
          <w:tcPr>
            <w:tcW w:w="2034" w:type="dxa"/>
            <w:tcBorders>
              <w:top w:val="single" w:color="auto" w:sz="4" w:space="0"/>
              <w:left w:val="nil"/>
              <w:bottom w:val="single" w:color="auto" w:sz="4" w:space="0"/>
              <w:right w:val="single" w:color="auto" w:sz="4" w:space="0"/>
            </w:tcBorders>
            <w:noWrap w:val="0"/>
            <w:vAlign w:val="center"/>
          </w:tcPr>
          <w:p w14:paraId="17E62A6E">
            <w:pPr>
              <w:keepNext w:val="0"/>
              <w:keepLines w:val="0"/>
              <w:pageBreakBefore w:val="0"/>
              <w:kinsoku/>
              <w:wordWrap/>
              <w:overflowPunct/>
              <w:topLinePunct w:val="0"/>
              <w:autoSpaceDE/>
              <w:autoSpaceDN/>
              <w:bidi w:val="0"/>
              <w:adjustRightInd/>
              <w:snapToGrid/>
              <w:spacing w:line="240" w:lineRule="auto"/>
              <w:ind w:firstLine="420" w:firstLineChars="200"/>
              <w:jc w:val="left"/>
              <w:textAlignment w:val="auto"/>
              <w:rPr>
                <w:rFonts w:ascii="宋体" w:hAnsi="宋体" w:cs="宋体"/>
                <w:szCs w:val="21"/>
                <w:highlight w:val="none"/>
              </w:rPr>
            </w:pPr>
          </w:p>
        </w:tc>
      </w:tr>
      <w:tr w14:paraId="0402F3D2">
        <w:tblPrEx>
          <w:tblCellMar>
            <w:top w:w="0" w:type="dxa"/>
            <w:left w:w="108" w:type="dxa"/>
            <w:bottom w:w="0" w:type="dxa"/>
            <w:right w:w="108" w:type="dxa"/>
          </w:tblCellMar>
        </w:tblPrEx>
        <w:trPr>
          <w:trHeight w:val="786" w:hRule="atLeast"/>
          <w:jc w:val="center"/>
        </w:trPr>
        <w:tc>
          <w:tcPr>
            <w:tcW w:w="1108" w:type="dxa"/>
            <w:vMerge w:val="continue"/>
            <w:tcBorders>
              <w:top w:val="single" w:color="auto" w:sz="4" w:space="0"/>
              <w:left w:val="single" w:color="auto" w:sz="4" w:space="0"/>
              <w:bottom w:val="single" w:color="auto" w:sz="4" w:space="0"/>
              <w:right w:val="single" w:color="auto" w:sz="4" w:space="0"/>
            </w:tcBorders>
            <w:noWrap w:val="0"/>
            <w:vAlign w:val="center"/>
          </w:tcPr>
          <w:p w14:paraId="2177F169">
            <w:pPr>
              <w:keepNext w:val="0"/>
              <w:keepLines w:val="0"/>
              <w:pageBreakBefore w:val="0"/>
              <w:kinsoku/>
              <w:wordWrap/>
              <w:overflowPunct/>
              <w:topLinePunct w:val="0"/>
              <w:autoSpaceDE/>
              <w:autoSpaceDN/>
              <w:bidi w:val="0"/>
              <w:adjustRightInd/>
              <w:snapToGrid/>
              <w:spacing w:line="240" w:lineRule="auto"/>
              <w:ind w:firstLine="420" w:firstLineChars="200"/>
              <w:jc w:val="both"/>
              <w:textAlignment w:val="auto"/>
              <w:rPr>
                <w:rFonts w:ascii="宋体" w:hAnsi="宋体" w:cs="宋体"/>
                <w:szCs w:val="21"/>
                <w:highlight w:val="none"/>
              </w:rPr>
            </w:pPr>
          </w:p>
        </w:tc>
        <w:tc>
          <w:tcPr>
            <w:tcW w:w="2949" w:type="dxa"/>
            <w:vMerge w:val="continue"/>
            <w:tcBorders>
              <w:top w:val="single" w:color="auto" w:sz="4" w:space="0"/>
              <w:left w:val="nil"/>
              <w:bottom w:val="single" w:color="auto" w:sz="4" w:space="0"/>
              <w:right w:val="single" w:color="auto" w:sz="4" w:space="0"/>
            </w:tcBorders>
            <w:noWrap w:val="0"/>
            <w:vAlign w:val="center"/>
          </w:tcPr>
          <w:p w14:paraId="2B5FB2DE">
            <w:pPr>
              <w:keepNext w:val="0"/>
              <w:keepLines w:val="0"/>
              <w:pageBreakBefore w:val="0"/>
              <w:kinsoku/>
              <w:wordWrap/>
              <w:overflowPunct/>
              <w:topLinePunct w:val="0"/>
              <w:autoSpaceDE/>
              <w:autoSpaceDN/>
              <w:bidi w:val="0"/>
              <w:adjustRightInd/>
              <w:snapToGrid/>
              <w:spacing w:line="240" w:lineRule="auto"/>
              <w:ind w:firstLine="420" w:firstLineChars="200"/>
              <w:jc w:val="left"/>
              <w:textAlignment w:val="auto"/>
              <w:rPr>
                <w:rFonts w:ascii="宋体" w:hAnsi="宋体" w:cs="宋体"/>
                <w:szCs w:val="21"/>
                <w:highlight w:val="none"/>
              </w:rPr>
            </w:pPr>
          </w:p>
        </w:tc>
        <w:tc>
          <w:tcPr>
            <w:tcW w:w="3084" w:type="dxa"/>
            <w:tcBorders>
              <w:top w:val="single" w:color="auto" w:sz="4" w:space="0"/>
              <w:left w:val="nil"/>
              <w:bottom w:val="single" w:color="auto" w:sz="4" w:space="0"/>
              <w:right w:val="single" w:color="auto" w:sz="4" w:space="0"/>
            </w:tcBorders>
            <w:noWrap w:val="0"/>
            <w:vAlign w:val="center"/>
          </w:tcPr>
          <w:p w14:paraId="5C36ACAE">
            <w:pPr>
              <w:keepNext w:val="0"/>
              <w:keepLines w:val="0"/>
              <w:pageBreakBefore w:val="0"/>
              <w:kinsoku/>
              <w:wordWrap/>
              <w:overflowPunct/>
              <w:topLinePunct w:val="0"/>
              <w:autoSpaceDE/>
              <w:autoSpaceDN/>
              <w:bidi w:val="0"/>
              <w:adjustRightInd/>
              <w:snapToGrid/>
              <w:spacing w:line="240" w:lineRule="auto"/>
              <w:jc w:val="left"/>
              <w:textAlignment w:val="auto"/>
              <w:rPr>
                <w:rFonts w:ascii="宋体" w:hAnsi="宋体" w:cs="宋体"/>
                <w:szCs w:val="21"/>
                <w:highlight w:val="none"/>
              </w:rPr>
            </w:pPr>
            <w:r>
              <w:rPr>
                <w:rFonts w:hint="eastAsia" w:ascii="宋体" w:hAnsi="宋体" w:cs="宋体"/>
                <w:szCs w:val="21"/>
                <w:highlight w:val="none"/>
              </w:rPr>
              <w:t>（3）未及时处理树线、树屋矛盾，每处每次扣1分。</w:t>
            </w:r>
          </w:p>
        </w:tc>
        <w:tc>
          <w:tcPr>
            <w:tcW w:w="725" w:type="dxa"/>
            <w:tcBorders>
              <w:top w:val="single" w:color="auto" w:sz="4" w:space="0"/>
              <w:left w:val="nil"/>
              <w:bottom w:val="single" w:color="auto" w:sz="4" w:space="0"/>
              <w:right w:val="single" w:color="auto" w:sz="4" w:space="0"/>
            </w:tcBorders>
            <w:noWrap w:val="0"/>
            <w:vAlign w:val="center"/>
          </w:tcPr>
          <w:p w14:paraId="34FD19EE">
            <w:pPr>
              <w:keepNext w:val="0"/>
              <w:keepLines w:val="0"/>
              <w:pageBreakBefore w:val="0"/>
              <w:kinsoku/>
              <w:wordWrap/>
              <w:overflowPunct/>
              <w:topLinePunct w:val="0"/>
              <w:autoSpaceDE/>
              <w:autoSpaceDN/>
              <w:bidi w:val="0"/>
              <w:adjustRightInd/>
              <w:snapToGrid/>
              <w:spacing w:line="240" w:lineRule="auto"/>
              <w:ind w:firstLine="420" w:firstLineChars="200"/>
              <w:jc w:val="left"/>
              <w:textAlignment w:val="auto"/>
              <w:rPr>
                <w:rFonts w:ascii="宋体" w:hAnsi="宋体" w:cs="宋体"/>
                <w:szCs w:val="21"/>
                <w:highlight w:val="none"/>
              </w:rPr>
            </w:pPr>
          </w:p>
        </w:tc>
        <w:tc>
          <w:tcPr>
            <w:tcW w:w="2034" w:type="dxa"/>
            <w:tcBorders>
              <w:top w:val="single" w:color="auto" w:sz="4" w:space="0"/>
              <w:left w:val="nil"/>
              <w:bottom w:val="single" w:color="auto" w:sz="4" w:space="0"/>
              <w:right w:val="single" w:color="auto" w:sz="4" w:space="0"/>
            </w:tcBorders>
            <w:noWrap w:val="0"/>
            <w:vAlign w:val="center"/>
          </w:tcPr>
          <w:p w14:paraId="0B80D0EF">
            <w:pPr>
              <w:keepNext w:val="0"/>
              <w:keepLines w:val="0"/>
              <w:pageBreakBefore w:val="0"/>
              <w:kinsoku/>
              <w:wordWrap/>
              <w:overflowPunct/>
              <w:topLinePunct w:val="0"/>
              <w:autoSpaceDE/>
              <w:autoSpaceDN/>
              <w:bidi w:val="0"/>
              <w:adjustRightInd/>
              <w:snapToGrid/>
              <w:spacing w:line="240" w:lineRule="auto"/>
              <w:ind w:firstLine="420" w:firstLineChars="200"/>
              <w:jc w:val="left"/>
              <w:textAlignment w:val="auto"/>
              <w:rPr>
                <w:rFonts w:ascii="宋体" w:hAnsi="宋体" w:cs="宋体"/>
                <w:szCs w:val="21"/>
                <w:highlight w:val="none"/>
              </w:rPr>
            </w:pPr>
          </w:p>
        </w:tc>
      </w:tr>
      <w:tr w14:paraId="02C04FF5">
        <w:tblPrEx>
          <w:tblCellMar>
            <w:top w:w="0" w:type="dxa"/>
            <w:left w:w="108" w:type="dxa"/>
            <w:bottom w:w="0" w:type="dxa"/>
            <w:right w:w="108" w:type="dxa"/>
          </w:tblCellMar>
        </w:tblPrEx>
        <w:trPr>
          <w:trHeight w:val="762" w:hRule="atLeast"/>
          <w:jc w:val="center"/>
        </w:trPr>
        <w:tc>
          <w:tcPr>
            <w:tcW w:w="1108" w:type="dxa"/>
            <w:vMerge w:val="continue"/>
            <w:tcBorders>
              <w:top w:val="single" w:color="auto" w:sz="4" w:space="0"/>
              <w:left w:val="single" w:color="auto" w:sz="4" w:space="0"/>
              <w:bottom w:val="single" w:color="auto" w:sz="4" w:space="0"/>
              <w:right w:val="single" w:color="auto" w:sz="4" w:space="0"/>
            </w:tcBorders>
            <w:noWrap w:val="0"/>
            <w:vAlign w:val="center"/>
          </w:tcPr>
          <w:p w14:paraId="7C820BF8">
            <w:pPr>
              <w:keepNext w:val="0"/>
              <w:keepLines w:val="0"/>
              <w:pageBreakBefore w:val="0"/>
              <w:kinsoku/>
              <w:wordWrap/>
              <w:overflowPunct/>
              <w:topLinePunct w:val="0"/>
              <w:autoSpaceDE/>
              <w:autoSpaceDN/>
              <w:bidi w:val="0"/>
              <w:adjustRightInd/>
              <w:snapToGrid/>
              <w:spacing w:line="240" w:lineRule="auto"/>
              <w:ind w:firstLine="420" w:firstLineChars="200"/>
              <w:jc w:val="both"/>
              <w:textAlignment w:val="auto"/>
              <w:rPr>
                <w:rFonts w:ascii="宋体" w:hAnsi="宋体" w:cs="宋体"/>
                <w:szCs w:val="21"/>
                <w:highlight w:val="none"/>
              </w:rPr>
            </w:pPr>
          </w:p>
        </w:tc>
        <w:tc>
          <w:tcPr>
            <w:tcW w:w="2949" w:type="dxa"/>
            <w:vMerge w:val="continue"/>
            <w:tcBorders>
              <w:top w:val="single" w:color="auto" w:sz="4" w:space="0"/>
              <w:left w:val="nil"/>
              <w:bottom w:val="single" w:color="auto" w:sz="4" w:space="0"/>
              <w:right w:val="single" w:color="auto" w:sz="4" w:space="0"/>
            </w:tcBorders>
            <w:noWrap w:val="0"/>
            <w:vAlign w:val="center"/>
          </w:tcPr>
          <w:p w14:paraId="3CA04BAD">
            <w:pPr>
              <w:keepNext w:val="0"/>
              <w:keepLines w:val="0"/>
              <w:pageBreakBefore w:val="0"/>
              <w:kinsoku/>
              <w:wordWrap/>
              <w:overflowPunct/>
              <w:topLinePunct w:val="0"/>
              <w:autoSpaceDE/>
              <w:autoSpaceDN/>
              <w:bidi w:val="0"/>
              <w:adjustRightInd/>
              <w:snapToGrid/>
              <w:spacing w:line="240" w:lineRule="auto"/>
              <w:ind w:firstLine="420" w:firstLineChars="200"/>
              <w:jc w:val="left"/>
              <w:textAlignment w:val="auto"/>
              <w:rPr>
                <w:rFonts w:ascii="宋体" w:hAnsi="宋体" w:cs="宋体"/>
                <w:szCs w:val="21"/>
                <w:highlight w:val="none"/>
              </w:rPr>
            </w:pPr>
          </w:p>
        </w:tc>
        <w:tc>
          <w:tcPr>
            <w:tcW w:w="3084" w:type="dxa"/>
            <w:tcBorders>
              <w:top w:val="single" w:color="auto" w:sz="4" w:space="0"/>
              <w:left w:val="nil"/>
              <w:bottom w:val="single" w:color="auto" w:sz="4" w:space="0"/>
              <w:right w:val="single" w:color="auto" w:sz="4" w:space="0"/>
            </w:tcBorders>
            <w:noWrap w:val="0"/>
            <w:vAlign w:val="center"/>
          </w:tcPr>
          <w:p w14:paraId="47E4C28C">
            <w:pPr>
              <w:keepNext w:val="0"/>
              <w:keepLines w:val="0"/>
              <w:pageBreakBefore w:val="0"/>
              <w:kinsoku/>
              <w:wordWrap/>
              <w:overflowPunct/>
              <w:topLinePunct w:val="0"/>
              <w:autoSpaceDE/>
              <w:autoSpaceDN/>
              <w:bidi w:val="0"/>
              <w:adjustRightInd/>
              <w:snapToGrid/>
              <w:spacing w:line="240" w:lineRule="auto"/>
              <w:jc w:val="left"/>
              <w:textAlignment w:val="auto"/>
              <w:rPr>
                <w:rFonts w:ascii="宋体" w:hAnsi="宋体" w:cs="宋体"/>
                <w:szCs w:val="21"/>
                <w:highlight w:val="none"/>
              </w:rPr>
            </w:pPr>
            <w:r>
              <w:rPr>
                <w:rFonts w:hint="eastAsia" w:ascii="宋体" w:hAnsi="宋体" w:cs="宋体"/>
                <w:szCs w:val="21"/>
                <w:highlight w:val="none"/>
              </w:rPr>
              <w:t>（4）发现剥芽未剥清或未剥到位，每株每次扣0.5分。</w:t>
            </w:r>
          </w:p>
        </w:tc>
        <w:tc>
          <w:tcPr>
            <w:tcW w:w="725" w:type="dxa"/>
            <w:tcBorders>
              <w:top w:val="single" w:color="auto" w:sz="4" w:space="0"/>
              <w:left w:val="nil"/>
              <w:bottom w:val="single" w:color="auto" w:sz="4" w:space="0"/>
              <w:right w:val="single" w:color="auto" w:sz="4" w:space="0"/>
            </w:tcBorders>
            <w:noWrap w:val="0"/>
            <w:vAlign w:val="center"/>
          </w:tcPr>
          <w:p w14:paraId="4907AD21">
            <w:pPr>
              <w:keepNext w:val="0"/>
              <w:keepLines w:val="0"/>
              <w:pageBreakBefore w:val="0"/>
              <w:kinsoku/>
              <w:wordWrap/>
              <w:overflowPunct/>
              <w:topLinePunct w:val="0"/>
              <w:autoSpaceDE/>
              <w:autoSpaceDN/>
              <w:bidi w:val="0"/>
              <w:adjustRightInd/>
              <w:snapToGrid/>
              <w:spacing w:line="240" w:lineRule="auto"/>
              <w:ind w:firstLine="420" w:firstLineChars="200"/>
              <w:jc w:val="left"/>
              <w:textAlignment w:val="auto"/>
              <w:rPr>
                <w:rFonts w:ascii="宋体" w:hAnsi="宋体" w:cs="宋体"/>
                <w:szCs w:val="21"/>
                <w:highlight w:val="none"/>
              </w:rPr>
            </w:pPr>
          </w:p>
        </w:tc>
        <w:tc>
          <w:tcPr>
            <w:tcW w:w="2034" w:type="dxa"/>
            <w:tcBorders>
              <w:top w:val="single" w:color="auto" w:sz="4" w:space="0"/>
              <w:left w:val="nil"/>
              <w:bottom w:val="single" w:color="auto" w:sz="4" w:space="0"/>
              <w:right w:val="single" w:color="auto" w:sz="4" w:space="0"/>
            </w:tcBorders>
            <w:noWrap w:val="0"/>
            <w:vAlign w:val="center"/>
          </w:tcPr>
          <w:p w14:paraId="34B417F9">
            <w:pPr>
              <w:keepNext w:val="0"/>
              <w:keepLines w:val="0"/>
              <w:pageBreakBefore w:val="0"/>
              <w:kinsoku/>
              <w:wordWrap/>
              <w:overflowPunct/>
              <w:topLinePunct w:val="0"/>
              <w:autoSpaceDE/>
              <w:autoSpaceDN/>
              <w:bidi w:val="0"/>
              <w:adjustRightInd/>
              <w:snapToGrid/>
              <w:spacing w:line="240" w:lineRule="auto"/>
              <w:ind w:firstLine="420" w:firstLineChars="200"/>
              <w:jc w:val="left"/>
              <w:textAlignment w:val="auto"/>
              <w:rPr>
                <w:rFonts w:ascii="宋体" w:hAnsi="宋体" w:cs="宋体"/>
                <w:szCs w:val="21"/>
                <w:highlight w:val="none"/>
              </w:rPr>
            </w:pPr>
          </w:p>
        </w:tc>
      </w:tr>
      <w:tr w14:paraId="120B7608">
        <w:tblPrEx>
          <w:tblCellMar>
            <w:top w:w="0" w:type="dxa"/>
            <w:left w:w="108" w:type="dxa"/>
            <w:bottom w:w="0" w:type="dxa"/>
            <w:right w:w="108" w:type="dxa"/>
          </w:tblCellMar>
        </w:tblPrEx>
        <w:trPr>
          <w:trHeight w:val="674" w:hRule="atLeast"/>
          <w:jc w:val="center"/>
        </w:trPr>
        <w:tc>
          <w:tcPr>
            <w:tcW w:w="1108" w:type="dxa"/>
            <w:vMerge w:val="continue"/>
            <w:tcBorders>
              <w:top w:val="single" w:color="auto" w:sz="4" w:space="0"/>
              <w:left w:val="single" w:color="auto" w:sz="4" w:space="0"/>
              <w:bottom w:val="single" w:color="auto" w:sz="4" w:space="0"/>
              <w:right w:val="single" w:color="auto" w:sz="4" w:space="0"/>
            </w:tcBorders>
            <w:noWrap w:val="0"/>
            <w:vAlign w:val="center"/>
          </w:tcPr>
          <w:p w14:paraId="5A84B151">
            <w:pPr>
              <w:keepNext w:val="0"/>
              <w:keepLines w:val="0"/>
              <w:pageBreakBefore w:val="0"/>
              <w:kinsoku/>
              <w:wordWrap/>
              <w:overflowPunct/>
              <w:topLinePunct w:val="0"/>
              <w:autoSpaceDE/>
              <w:autoSpaceDN/>
              <w:bidi w:val="0"/>
              <w:adjustRightInd/>
              <w:snapToGrid/>
              <w:spacing w:line="240" w:lineRule="auto"/>
              <w:ind w:firstLine="420" w:firstLineChars="200"/>
              <w:jc w:val="both"/>
              <w:textAlignment w:val="auto"/>
              <w:rPr>
                <w:rFonts w:ascii="宋体" w:hAnsi="宋体" w:cs="宋体"/>
                <w:szCs w:val="21"/>
                <w:highlight w:val="none"/>
              </w:rPr>
            </w:pPr>
          </w:p>
        </w:tc>
        <w:tc>
          <w:tcPr>
            <w:tcW w:w="2949" w:type="dxa"/>
            <w:vMerge w:val="restart"/>
            <w:tcBorders>
              <w:top w:val="single" w:color="auto" w:sz="4" w:space="0"/>
              <w:left w:val="nil"/>
              <w:bottom w:val="single" w:color="auto" w:sz="4" w:space="0"/>
              <w:right w:val="single" w:color="auto" w:sz="4" w:space="0"/>
            </w:tcBorders>
            <w:noWrap w:val="0"/>
            <w:vAlign w:val="center"/>
          </w:tcPr>
          <w:p w14:paraId="3D983D89">
            <w:pPr>
              <w:keepNext w:val="0"/>
              <w:keepLines w:val="0"/>
              <w:pageBreakBefore w:val="0"/>
              <w:kinsoku/>
              <w:wordWrap/>
              <w:overflowPunct/>
              <w:topLinePunct w:val="0"/>
              <w:autoSpaceDE/>
              <w:autoSpaceDN/>
              <w:bidi w:val="0"/>
              <w:adjustRightInd/>
              <w:snapToGrid/>
              <w:spacing w:line="240" w:lineRule="auto"/>
              <w:jc w:val="left"/>
              <w:textAlignment w:val="auto"/>
              <w:rPr>
                <w:rFonts w:ascii="宋体" w:hAnsi="宋体" w:cs="宋体"/>
                <w:szCs w:val="21"/>
                <w:highlight w:val="none"/>
              </w:rPr>
            </w:pPr>
            <w:r>
              <w:rPr>
                <w:rFonts w:hint="eastAsia" w:ascii="宋体" w:hAnsi="宋体" w:cs="宋体"/>
                <w:szCs w:val="21"/>
                <w:highlight w:val="none"/>
              </w:rPr>
              <w:t>花灌木修剪</w:t>
            </w:r>
          </w:p>
          <w:p w14:paraId="1634A253">
            <w:pPr>
              <w:keepNext w:val="0"/>
              <w:keepLines w:val="0"/>
              <w:pageBreakBefore w:val="0"/>
              <w:kinsoku/>
              <w:wordWrap/>
              <w:overflowPunct/>
              <w:topLinePunct w:val="0"/>
              <w:autoSpaceDE/>
              <w:autoSpaceDN/>
              <w:bidi w:val="0"/>
              <w:adjustRightInd/>
              <w:snapToGrid/>
              <w:spacing w:line="240" w:lineRule="auto"/>
              <w:jc w:val="left"/>
              <w:textAlignment w:val="auto"/>
              <w:rPr>
                <w:rFonts w:ascii="宋体" w:hAnsi="宋体" w:cs="宋体"/>
                <w:szCs w:val="21"/>
                <w:highlight w:val="none"/>
              </w:rPr>
            </w:pPr>
            <w:r>
              <w:rPr>
                <w:rFonts w:hint="eastAsia" w:ascii="宋体" w:hAnsi="宋体" w:cs="宋体"/>
                <w:szCs w:val="21"/>
                <w:highlight w:val="none"/>
              </w:rPr>
              <w:t xml:space="preserve">1、根据花灌木品种生长习性进行修剪、剥芽（含脚芽）；                              </w:t>
            </w:r>
          </w:p>
          <w:p w14:paraId="00FA62EC">
            <w:pPr>
              <w:keepNext w:val="0"/>
              <w:keepLines w:val="0"/>
              <w:pageBreakBefore w:val="0"/>
              <w:kinsoku/>
              <w:wordWrap/>
              <w:overflowPunct/>
              <w:topLinePunct w:val="0"/>
              <w:autoSpaceDE/>
              <w:autoSpaceDN/>
              <w:bidi w:val="0"/>
              <w:adjustRightInd/>
              <w:snapToGrid/>
              <w:spacing w:line="240" w:lineRule="auto"/>
              <w:jc w:val="left"/>
              <w:textAlignment w:val="auto"/>
              <w:rPr>
                <w:rFonts w:ascii="宋体" w:hAnsi="宋体" w:cs="宋体"/>
                <w:szCs w:val="21"/>
                <w:highlight w:val="none"/>
              </w:rPr>
            </w:pPr>
            <w:r>
              <w:rPr>
                <w:rFonts w:hint="eastAsia" w:ascii="宋体" w:hAnsi="宋体" w:cs="宋体"/>
                <w:szCs w:val="21"/>
                <w:highlight w:val="none"/>
              </w:rPr>
              <w:t>2、无枯枝败叶，无修后枝叶残存或散落不清。</w:t>
            </w:r>
          </w:p>
        </w:tc>
        <w:tc>
          <w:tcPr>
            <w:tcW w:w="3084" w:type="dxa"/>
            <w:tcBorders>
              <w:top w:val="single" w:color="auto" w:sz="4" w:space="0"/>
              <w:left w:val="nil"/>
              <w:bottom w:val="single" w:color="auto" w:sz="4" w:space="0"/>
              <w:right w:val="single" w:color="auto" w:sz="4" w:space="0"/>
            </w:tcBorders>
            <w:noWrap w:val="0"/>
            <w:vAlign w:val="center"/>
          </w:tcPr>
          <w:p w14:paraId="18022502">
            <w:pPr>
              <w:keepNext w:val="0"/>
              <w:keepLines w:val="0"/>
              <w:pageBreakBefore w:val="0"/>
              <w:kinsoku/>
              <w:wordWrap/>
              <w:overflowPunct/>
              <w:topLinePunct w:val="0"/>
              <w:autoSpaceDE/>
              <w:autoSpaceDN/>
              <w:bidi w:val="0"/>
              <w:adjustRightInd/>
              <w:snapToGrid/>
              <w:spacing w:line="240" w:lineRule="auto"/>
              <w:jc w:val="left"/>
              <w:textAlignment w:val="auto"/>
              <w:rPr>
                <w:rFonts w:ascii="宋体" w:hAnsi="宋体" w:cs="宋体"/>
                <w:szCs w:val="21"/>
                <w:highlight w:val="none"/>
              </w:rPr>
            </w:pPr>
            <w:r>
              <w:rPr>
                <w:rFonts w:hint="eastAsia" w:ascii="宋体" w:hAnsi="宋体" w:cs="宋体"/>
                <w:szCs w:val="21"/>
                <w:highlight w:val="none"/>
              </w:rPr>
              <w:t>（1）未按要求进行修剪、剥芽，发现一株扣0.5分。</w:t>
            </w:r>
          </w:p>
        </w:tc>
        <w:tc>
          <w:tcPr>
            <w:tcW w:w="725" w:type="dxa"/>
            <w:tcBorders>
              <w:top w:val="nil"/>
              <w:left w:val="nil"/>
              <w:bottom w:val="single" w:color="auto" w:sz="4" w:space="0"/>
              <w:right w:val="single" w:color="auto" w:sz="4" w:space="0"/>
            </w:tcBorders>
            <w:noWrap w:val="0"/>
            <w:vAlign w:val="center"/>
          </w:tcPr>
          <w:p w14:paraId="4908BBC4">
            <w:pPr>
              <w:keepNext w:val="0"/>
              <w:keepLines w:val="0"/>
              <w:pageBreakBefore w:val="0"/>
              <w:kinsoku/>
              <w:wordWrap/>
              <w:overflowPunct/>
              <w:topLinePunct w:val="0"/>
              <w:autoSpaceDE/>
              <w:autoSpaceDN/>
              <w:bidi w:val="0"/>
              <w:adjustRightInd/>
              <w:snapToGrid/>
              <w:spacing w:line="240" w:lineRule="auto"/>
              <w:ind w:firstLine="420" w:firstLineChars="200"/>
              <w:jc w:val="left"/>
              <w:textAlignment w:val="auto"/>
              <w:rPr>
                <w:rFonts w:ascii="宋体" w:hAnsi="宋体" w:cs="宋体"/>
                <w:szCs w:val="21"/>
                <w:highlight w:val="none"/>
              </w:rPr>
            </w:pPr>
          </w:p>
        </w:tc>
        <w:tc>
          <w:tcPr>
            <w:tcW w:w="2034" w:type="dxa"/>
            <w:tcBorders>
              <w:top w:val="nil"/>
              <w:left w:val="nil"/>
              <w:bottom w:val="single" w:color="auto" w:sz="4" w:space="0"/>
              <w:right w:val="single" w:color="auto" w:sz="4" w:space="0"/>
            </w:tcBorders>
            <w:noWrap w:val="0"/>
            <w:vAlign w:val="center"/>
          </w:tcPr>
          <w:p w14:paraId="6E8B6257">
            <w:pPr>
              <w:keepNext w:val="0"/>
              <w:keepLines w:val="0"/>
              <w:pageBreakBefore w:val="0"/>
              <w:kinsoku/>
              <w:wordWrap/>
              <w:overflowPunct/>
              <w:topLinePunct w:val="0"/>
              <w:autoSpaceDE/>
              <w:autoSpaceDN/>
              <w:bidi w:val="0"/>
              <w:adjustRightInd/>
              <w:snapToGrid/>
              <w:spacing w:line="240" w:lineRule="auto"/>
              <w:ind w:firstLine="420" w:firstLineChars="200"/>
              <w:jc w:val="left"/>
              <w:textAlignment w:val="auto"/>
              <w:rPr>
                <w:rFonts w:ascii="宋体" w:hAnsi="宋体" w:cs="宋体"/>
                <w:szCs w:val="21"/>
                <w:highlight w:val="none"/>
              </w:rPr>
            </w:pPr>
          </w:p>
        </w:tc>
      </w:tr>
      <w:tr w14:paraId="4E2A2F75">
        <w:tblPrEx>
          <w:tblCellMar>
            <w:top w:w="0" w:type="dxa"/>
            <w:left w:w="108" w:type="dxa"/>
            <w:bottom w:w="0" w:type="dxa"/>
            <w:right w:w="108" w:type="dxa"/>
          </w:tblCellMar>
        </w:tblPrEx>
        <w:trPr>
          <w:trHeight w:val="523" w:hRule="atLeast"/>
          <w:jc w:val="center"/>
        </w:trPr>
        <w:tc>
          <w:tcPr>
            <w:tcW w:w="1108" w:type="dxa"/>
            <w:vMerge w:val="continue"/>
            <w:tcBorders>
              <w:top w:val="single" w:color="auto" w:sz="4" w:space="0"/>
              <w:left w:val="single" w:color="auto" w:sz="4" w:space="0"/>
              <w:bottom w:val="single" w:color="auto" w:sz="4" w:space="0"/>
              <w:right w:val="single" w:color="auto" w:sz="4" w:space="0"/>
            </w:tcBorders>
            <w:noWrap w:val="0"/>
            <w:vAlign w:val="center"/>
          </w:tcPr>
          <w:p w14:paraId="7C12575F">
            <w:pPr>
              <w:keepNext w:val="0"/>
              <w:keepLines w:val="0"/>
              <w:pageBreakBefore w:val="0"/>
              <w:kinsoku/>
              <w:wordWrap/>
              <w:overflowPunct/>
              <w:topLinePunct w:val="0"/>
              <w:autoSpaceDE/>
              <w:autoSpaceDN/>
              <w:bidi w:val="0"/>
              <w:adjustRightInd/>
              <w:snapToGrid/>
              <w:spacing w:line="240" w:lineRule="auto"/>
              <w:ind w:firstLine="420" w:firstLineChars="200"/>
              <w:jc w:val="both"/>
              <w:textAlignment w:val="auto"/>
              <w:rPr>
                <w:rFonts w:ascii="宋体" w:hAnsi="宋体" w:cs="宋体"/>
                <w:szCs w:val="21"/>
                <w:highlight w:val="none"/>
              </w:rPr>
            </w:pPr>
          </w:p>
        </w:tc>
        <w:tc>
          <w:tcPr>
            <w:tcW w:w="2949" w:type="dxa"/>
            <w:vMerge w:val="continue"/>
            <w:tcBorders>
              <w:top w:val="single" w:color="auto" w:sz="4" w:space="0"/>
              <w:left w:val="nil"/>
              <w:bottom w:val="single" w:color="auto" w:sz="4" w:space="0"/>
              <w:right w:val="single" w:color="auto" w:sz="4" w:space="0"/>
            </w:tcBorders>
            <w:noWrap w:val="0"/>
            <w:vAlign w:val="center"/>
          </w:tcPr>
          <w:p w14:paraId="1FE8E78B">
            <w:pPr>
              <w:keepNext w:val="0"/>
              <w:keepLines w:val="0"/>
              <w:pageBreakBefore w:val="0"/>
              <w:kinsoku/>
              <w:wordWrap/>
              <w:overflowPunct/>
              <w:topLinePunct w:val="0"/>
              <w:autoSpaceDE/>
              <w:autoSpaceDN/>
              <w:bidi w:val="0"/>
              <w:adjustRightInd/>
              <w:snapToGrid/>
              <w:spacing w:line="240" w:lineRule="auto"/>
              <w:ind w:firstLine="420" w:firstLineChars="200"/>
              <w:jc w:val="left"/>
              <w:textAlignment w:val="auto"/>
              <w:rPr>
                <w:rFonts w:ascii="宋体" w:hAnsi="宋体" w:cs="宋体"/>
                <w:szCs w:val="21"/>
                <w:highlight w:val="none"/>
              </w:rPr>
            </w:pPr>
          </w:p>
        </w:tc>
        <w:tc>
          <w:tcPr>
            <w:tcW w:w="3084" w:type="dxa"/>
            <w:tcBorders>
              <w:top w:val="single" w:color="auto" w:sz="4" w:space="0"/>
              <w:left w:val="nil"/>
              <w:bottom w:val="single" w:color="auto" w:sz="4" w:space="0"/>
              <w:right w:val="single" w:color="auto" w:sz="4" w:space="0"/>
            </w:tcBorders>
            <w:noWrap w:val="0"/>
            <w:vAlign w:val="center"/>
          </w:tcPr>
          <w:p w14:paraId="60BA409E">
            <w:pPr>
              <w:keepNext w:val="0"/>
              <w:keepLines w:val="0"/>
              <w:pageBreakBefore w:val="0"/>
              <w:kinsoku/>
              <w:wordWrap/>
              <w:overflowPunct/>
              <w:topLinePunct w:val="0"/>
              <w:autoSpaceDE/>
              <w:autoSpaceDN/>
              <w:bidi w:val="0"/>
              <w:adjustRightInd/>
              <w:snapToGrid/>
              <w:spacing w:line="240" w:lineRule="auto"/>
              <w:jc w:val="left"/>
              <w:textAlignment w:val="auto"/>
              <w:rPr>
                <w:rFonts w:ascii="宋体" w:hAnsi="宋体" w:cs="宋体"/>
                <w:szCs w:val="21"/>
                <w:highlight w:val="none"/>
              </w:rPr>
            </w:pPr>
            <w:r>
              <w:rPr>
                <w:rFonts w:hint="eastAsia" w:ascii="宋体" w:hAnsi="宋体" w:cs="宋体"/>
                <w:szCs w:val="21"/>
                <w:highlight w:val="none"/>
              </w:rPr>
              <w:t>（2）枯枝败叶未及时清除，发现一处扣0.5分。</w:t>
            </w:r>
          </w:p>
        </w:tc>
        <w:tc>
          <w:tcPr>
            <w:tcW w:w="725" w:type="dxa"/>
            <w:tcBorders>
              <w:top w:val="single" w:color="auto" w:sz="4" w:space="0"/>
              <w:left w:val="nil"/>
              <w:bottom w:val="single" w:color="auto" w:sz="4" w:space="0"/>
              <w:right w:val="single" w:color="auto" w:sz="4" w:space="0"/>
            </w:tcBorders>
            <w:noWrap w:val="0"/>
            <w:vAlign w:val="center"/>
          </w:tcPr>
          <w:p w14:paraId="3B19344D">
            <w:pPr>
              <w:keepNext w:val="0"/>
              <w:keepLines w:val="0"/>
              <w:pageBreakBefore w:val="0"/>
              <w:kinsoku/>
              <w:wordWrap/>
              <w:overflowPunct/>
              <w:topLinePunct w:val="0"/>
              <w:autoSpaceDE/>
              <w:autoSpaceDN/>
              <w:bidi w:val="0"/>
              <w:adjustRightInd/>
              <w:snapToGrid/>
              <w:spacing w:line="240" w:lineRule="auto"/>
              <w:ind w:firstLine="420" w:firstLineChars="200"/>
              <w:jc w:val="left"/>
              <w:textAlignment w:val="auto"/>
              <w:rPr>
                <w:rFonts w:ascii="宋体" w:hAnsi="宋体" w:cs="宋体"/>
                <w:szCs w:val="21"/>
                <w:highlight w:val="none"/>
              </w:rPr>
            </w:pPr>
          </w:p>
        </w:tc>
        <w:tc>
          <w:tcPr>
            <w:tcW w:w="2034" w:type="dxa"/>
            <w:tcBorders>
              <w:top w:val="single" w:color="auto" w:sz="4" w:space="0"/>
              <w:left w:val="nil"/>
              <w:bottom w:val="single" w:color="auto" w:sz="4" w:space="0"/>
              <w:right w:val="single" w:color="auto" w:sz="4" w:space="0"/>
            </w:tcBorders>
            <w:noWrap w:val="0"/>
            <w:vAlign w:val="center"/>
          </w:tcPr>
          <w:p w14:paraId="0ACDEBA1">
            <w:pPr>
              <w:keepNext w:val="0"/>
              <w:keepLines w:val="0"/>
              <w:pageBreakBefore w:val="0"/>
              <w:kinsoku/>
              <w:wordWrap/>
              <w:overflowPunct/>
              <w:topLinePunct w:val="0"/>
              <w:autoSpaceDE/>
              <w:autoSpaceDN/>
              <w:bidi w:val="0"/>
              <w:adjustRightInd/>
              <w:snapToGrid/>
              <w:spacing w:line="240" w:lineRule="auto"/>
              <w:ind w:firstLine="420" w:firstLineChars="200"/>
              <w:jc w:val="left"/>
              <w:textAlignment w:val="auto"/>
              <w:rPr>
                <w:rFonts w:ascii="宋体" w:hAnsi="宋体" w:cs="宋体"/>
                <w:szCs w:val="21"/>
                <w:highlight w:val="none"/>
              </w:rPr>
            </w:pPr>
          </w:p>
        </w:tc>
      </w:tr>
      <w:tr w14:paraId="49245F9C">
        <w:tblPrEx>
          <w:tblCellMar>
            <w:top w:w="0" w:type="dxa"/>
            <w:left w:w="108" w:type="dxa"/>
            <w:bottom w:w="0" w:type="dxa"/>
            <w:right w:w="108" w:type="dxa"/>
          </w:tblCellMar>
        </w:tblPrEx>
        <w:trPr>
          <w:trHeight w:val="607" w:hRule="atLeast"/>
          <w:jc w:val="center"/>
        </w:trPr>
        <w:tc>
          <w:tcPr>
            <w:tcW w:w="1108" w:type="dxa"/>
            <w:vMerge w:val="continue"/>
            <w:tcBorders>
              <w:top w:val="single" w:color="auto" w:sz="4" w:space="0"/>
              <w:left w:val="single" w:color="auto" w:sz="4" w:space="0"/>
              <w:bottom w:val="single" w:color="auto" w:sz="4" w:space="0"/>
              <w:right w:val="single" w:color="auto" w:sz="4" w:space="0"/>
            </w:tcBorders>
            <w:noWrap w:val="0"/>
            <w:vAlign w:val="center"/>
          </w:tcPr>
          <w:p w14:paraId="21C4F7DB">
            <w:pPr>
              <w:keepNext w:val="0"/>
              <w:keepLines w:val="0"/>
              <w:pageBreakBefore w:val="0"/>
              <w:kinsoku/>
              <w:wordWrap/>
              <w:overflowPunct/>
              <w:topLinePunct w:val="0"/>
              <w:autoSpaceDE/>
              <w:autoSpaceDN/>
              <w:bidi w:val="0"/>
              <w:adjustRightInd/>
              <w:snapToGrid/>
              <w:spacing w:line="240" w:lineRule="auto"/>
              <w:ind w:firstLine="420" w:firstLineChars="200"/>
              <w:jc w:val="both"/>
              <w:textAlignment w:val="auto"/>
              <w:rPr>
                <w:rFonts w:ascii="宋体" w:hAnsi="宋体" w:cs="宋体"/>
                <w:szCs w:val="21"/>
                <w:highlight w:val="none"/>
              </w:rPr>
            </w:pPr>
          </w:p>
        </w:tc>
        <w:tc>
          <w:tcPr>
            <w:tcW w:w="2949" w:type="dxa"/>
            <w:vMerge w:val="restart"/>
            <w:tcBorders>
              <w:top w:val="single" w:color="auto" w:sz="4" w:space="0"/>
              <w:left w:val="nil"/>
              <w:bottom w:val="single" w:color="auto" w:sz="4" w:space="0"/>
              <w:right w:val="single" w:color="auto" w:sz="4" w:space="0"/>
            </w:tcBorders>
            <w:noWrap w:val="0"/>
            <w:vAlign w:val="center"/>
          </w:tcPr>
          <w:p w14:paraId="45F97D66">
            <w:pPr>
              <w:keepNext w:val="0"/>
              <w:keepLines w:val="0"/>
              <w:pageBreakBefore w:val="0"/>
              <w:kinsoku/>
              <w:wordWrap/>
              <w:overflowPunct/>
              <w:topLinePunct w:val="0"/>
              <w:autoSpaceDE/>
              <w:autoSpaceDN/>
              <w:bidi w:val="0"/>
              <w:adjustRightInd/>
              <w:snapToGrid/>
              <w:spacing w:line="240" w:lineRule="auto"/>
              <w:jc w:val="left"/>
              <w:textAlignment w:val="auto"/>
              <w:rPr>
                <w:rFonts w:ascii="宋体" w:hAnsi="宋体" w:cs="宋体"/>
                <w:szCs w:val="21"/>
                <w:highlight w:val="none"/>
              </w:rPr>
            </w:pPr>
            <w:r>
              <w:rPr>
                <w:rFonts w:hint="eastAsia" w:ascii="宋体" w:hAnsi="宋体" w:cs="宋体"/>
                <w:szCs w:val="21"/>
                <w:highlight w:val="none"/>
              </w:rPr>
              <w:t xml:space="preserve">绿篱修剪    </w:t>
            </w:r>
          </w:p>
          <w:p w14:paraId="497A5E8E">
            <w:pPr>
              <w:keepNext w:val="0"/>
              <w:keepLines w:val="0"/>
              <w:pageBreakBefore w:val="0"/>
              <w:kinsoku/>
              <w:wordWrap/>
              <w:overflowPunct/>
              <w:topLinePunct w:val="0"/>
              <w:autoSpaceDE/>
              <w:autoSpaceDN/>
              <w:bidi w:val="0"/>
              <w:adjustRightInd/>
              <w:snapToGrid/>
              <w:spacing w:line="240" w:lineRule="auto"/>
              <w:jc w:val="left"/>
              <w:textAlignment w:val="auto"/>
              <w:rPr>
                <w:rFonts w:ascii="宋体" w:hAnsi="宋体" w:cs="宋体"/>
                <w:szCs w:val="21"/>
                <w:highlight w:val="none"/>
              </w:rPr>
            </w:pPr>
            <w:r>
              <w:rPr>
                <w:rFonts w:hint="eastAsia" w:ascii="宋体" w:hAnsi="宋体" w:cs="宋体"/>
                <w:szCs w:val="21"/>
                <w:highlight w:val="none"/>
              </w:rPr>
              <w:t xml:space="preserve">1、修剪面整齐划一，目测一条线或光滑曲面；  </w:t>
            </w:r>
          </w:p>
          <w:p w14:paraId="5CD1B5B6">
            <w:pPr>
              <w:keepNext w:val="0"/>
              <w:keepLines w:val="0"/>
              <w:pageBreakBefore w:val="0"/>
              <w:kinsoku/>
              <w:wordWrap/>
              <w:overflowPunct/>
              <w:topLinePunct w:val="0"/>
              <w:autoSpaceDE/>
              <w:autoSpaceDN/>
              <w:bidi w:val="0"/>
              <w:adjustRightInd/>
              <w:snapToGrid/>
              <w:spacing w:line="240" w:lineRule="auto"/>
              <w:jc w:val="left"/>
              <w:textAlignment w:val="auto"/>
              <w:rPr>
                <w:rFonts w:ascii="宋体" w:hAnsi="宋体" w:cs="宋体"/>
                <w:szCs w:val="21"/>
                <w:highlight w:val="none"/>
              </w:rPr>
            </w:pPr>
            <w:r>
              <w:rPr>
                <w:rFonts w:hint="eastAsia" w:ascii="宋体" w:hAnsi="宋体" w:cs="宋体"/>
                <w:szCs w:val="21"/>
                <w:highlight w:val="none"/>
              </w:rPr>
              <w:t>2、日常修剪及时到位，不脱脚，不得出现单枝（芽）超出5cm未剪现象。</w:t>
            </w:r>
          </w:p>
        </w:tc>
        <w:tc>
          <w:tcPr>
            <w:tcW w:w="3084" w:type="dxa"/>
            <w:tcBorders>
              <w:top w:val="single" w:color="auto" w:sz="4" w:space="0"/>
              <w:left w:val="nil"/>
              <w:bottom w:val="single" w:color="auto" w:sz="4" w:space="0"/>
              <w:right w:val="single" w:color="auto" w:sz="4" w:space="0"/>
            </w:tcBorders>
            <w:noWrap w:val="0"/>
            <w:vAlign w:val="center"/>
          </w:tcPr>
          <w:p w14:paraId="459B87C3">
            <w:pPr>
              <w:keepNext w:val="0"/>
              <w:keepLines w:val="0"/>
              <w:pageBreakBefore w:val="0"/>
              <w:kinsoku/>
              <w:wordWrap/>
              <w:overflowPunct/>
              <w:topLinePunct w:val="0"/>
              <w:autoSpaceDE/>
              <w:autoSpaceDN/>
              <w:bidi w:val="0"/>
              <w:adjustRightInd/>
              <w:snapToGrid/>
              <w:spacing w:line="240" w:lineRule="auto"/>
              <w:jc w:val="left"/>
              <w:textAlignment w:val="auto"/>
              <w:rPr>
                <w:rFonts w:ascii="宋体" w:hAnsi="宋体" w:cs="宋体"/>
                <w:szCs w:val="21"/>
                <w:highlight w:val="none"/>
              </w:rPr>
            </w:pPr>
            <w:r>
              <w:rPr>
                <w:rFonts w:hint="eastAsia" w:ascii="宋体" w:hAnsi="宋体" w:cs="宋体"/>
                <w:szCs w:val="21"/>
                <w:highlight w:val="none"/>
              </w:rPr>
              <w:t>（1）修剪线条缺断或不一致，发现一处扣1分。</w:t>
            </w:r>
          </w:p>
        </w:tc>
        <w:tc>
          <w:tcPr>
            <w:tcW w:w="725" w:type="dxa"/>
            <w:tcBorders>
              <w:top w:val="nil"/>
              <w:left w:val="nil"/>
              <w:bottom w:val="single" w:color="auto" w:sz="4" w:space="0"/>
              <w:right w:val="single" w:color="auto" w:sz="4" w:space="0"/>
            </w:tcBorders>
            <w:noWrap w:val="0"/>
            <w:vAlign w:val="center"/>
          </w:tcPr>
          <w:p w14:paraId="77662379">
            <w:pPr>
              <w:keepNext w:val="0"/>
              <w:keepLines w:val="0"/>
              <w:pageBreakBefore w:val="0"/>
              <w:kinsoku/>
              <w:wordWrap/>
              <w:overflowPunct/>
              <w:topLinePunct w:val="0"/>
              <w:autoSpaceDE/>
              <w:autoSpaceDN/>
              <w:bidi w:val="0"/>
              <w:adjustRightInd/>
              <w:snapToGrid/>
              <w:spacing w:line="240" w:lineRule="auto"/>
              <w:ind w:firstLine="420" w:firstLineChars="200"/>
              <w:jc w:val="left"/>
              <w:textAlignment w:val="auto"/>
              <w:rPr>
                <w:rFonts w:ascii="宋体" w:hAnsi="宋体" w:cs="宋体"/>
                <w:szCs w:val="21"/>
                <w:highlight w:val="none"/>
              </w:rPr>
            </w:pPr>
          </w:p>
        </w:tc>
        <w:tc>
          <w:tcPr>
            <w:tcW w:w="2034" w:type="dxa"/>
            <w:tcBorders>
              <w:top w:val="nil"/>
              <w:left w:val="nil"/>
              <w:bottom w:val="single" w:color="auto" w:sz="4" w:space="0"/>
              <w:right w:val="single" w:color="auto" w:sz="4" w:space="0"/>
            </w:tcBorders>
            <w:noWrap w:val="0"/>
            <w:vAlign w:val="center"/>
          </w:tcPr>
          <w:p w14:paraId="20B96141">
            <w:pPr>
              <w:keepNext w:val="0"/>
              <w:keepLines w:val="0"/>
              <w:pageBreakBefore w:val="0"/>
              <w:kinsoku/>
              <w:wordWrap/>
              <w:overflowPunct/>
              <w:topLinePunct w:val="0"/>
              <w:autoSpaceDE/>
              <w:autoSpaceDN/>
              <w:bidi w:val="0"/>
              <w:adjustRightInd/>
              <w:snapToGrid/>
              <w:spacing w:line="240" w:lineRule="auto"/>
              <w:ind w:firstLine="420" w:firstLineChars="200"/>
              <w:jc w:val="left"/>
              <w:textAlignment w:val="auto"/>
              <w:rPr>
                <w:rFonts w:ascii="宋体" w:hAnsi="宋体" w:cs="宋体"/>
                <w:szCs w:val="21"/>
                <w:highlight w:val="none"/>
              </w:rPr>
            </w:pPr>
          </w:p>
        </w:tc>
      </w:tr>
      <w:tr w14:paraId="4E2B1B87">
        <w:tblPrEx>
          <w:tblCellMar>
            <w:top w:w="0" w:type="dxa"/>
            <w:left w:w="108" w:type="dxa"/>
            <w:bottom w:w="0" w:type="dxa"/>
            <w:right w:w="108" w:type="dxa"/>
          </w:tblCellMar>
        </w:tblPrEx>
        <w:trPr>
          <w:trHeight w:val="1668" w:hRule="atLeast"/>
          <w:jc w:val="center"/>
        </w:trPr>
        <w:tc>
          <w:tcPr>
            <w:tcW w:w="1108" w:type="dxa"/>
            <w:vMerge w:val="continue"/>
            <w:tcBorders>
              <w:top w:val="single" w:color="auto" w:sz="4" w:space="0"/>
              <w:left w:val="single" w:color="auto" w:sz="4" w:space="0"/>
              <w:bottom w:val="single" w:color="auto" w:sz="4" w:space="0"/>
              <w:right w:val="single" w:color="auto" w:sz="4" w:space="0"/>
            </w:tcBorders>
            <w:noWrap w:val="0"/>
            <w:vAlign w:val="center"/>
          </w:tcPr>
          <w:p w14:paraId="2D1D359B">
            <w:pPr>
              <w:keepNext w:val="0"/>
              <w:keepLines w:val="0"/>
              <w:pageBreakBefore w:val="0"/>
              <w:kinsoku/>
              <w:wordWrap/>
              <w:overflowPunct/>
              <w:topLinePunct w:val="0"/>
              <w:autoSpaceDE/>
              <w:autoSpaceDN/>
              <w:bidi w:val="0"/>
              <w:adjustRightInd/>
              <w:snapToGrid/>
              <w:spacing w:line="240" w:lineRule="auto"/>
              <w:ind w:firstLine="420" w:firstLineChars="200"/>
              <w:jc w:val="both"/>
              <w:textAlignment w:val="auto"/>
              <w:rPr>
                <w:rFonts w:ascii="宋体" w:hAnsi="宋体" w:cs="宋体"/>
                <w:szCs w:val="21"/>
                <w:highlight w:val="none"/>
              </w:rPr>
            </w:pPr>
          </w:p>
        </w:tc>
        <w:tc>
          <w:tcPr>
            <w:tcW w:w="2949" w:type="dxa"/>
            <w:vMerge w:val="continue"/>
            <w:tcBorders>
              <w:top w:val="single" w:color="auto" w:sz="4" w:space="0"/>
              <w:left w:val="nil"/>
              <w:bottom w:val="single" w:color="auto" w:sz="4" w:space="0"/>
              <w:right w:val="single" w:color="auto" w:sz="4" w:space="0"/>
            </w:tcBorders>
            <w:noWrap w:val="0"/>
            <w:vAlign w:val="center"/>
          </w:tcPr>
          <w:p w14:paraId="66D29F73">
            <w:pPr>
              <w:keepNext w:val="0"/>
              <w:keepLines w:val="0"/>
              <w:pageBreakBefore w:val="0"/>
              <w:kinsoku/>
              <w:wordWrap/>
              <w:overflowPunct/>
              <w:topLinePunct w:val="0"/>
              <w:autoSpaceDE/>
              <w:autoSpaceDN/>
              <w:bidi w:val="0"/>
              <w:adjustRightInd/>
              <w:snapToGrid/>
              <w:spacing w:line="240" w:lineRule="auto"/>
              <w:ind w:firstLine="420" w:firstLineChars="200"/>
              <w:jc w:val="left"/>
              <w:textAlignment w:val="auto"/>
              <w:rPr>
                <w:rFonts w:ascii="宋体" w:hAnsi="宋体" w:cs="宋体"/>
                <w:szCs w:val="21"/>
                <w:highlight w:val="none"/>
              </w:rPr>
            </w:pPr>
          </w:p>
        </w:tc>
        <w:tc>
          <w:tcPr>
            <w:tcW w:w="3084" w:type="dxa"/>
            <w:tcBorders>
              <w:top w:val="single" w:color="auto" w:sz="4" w:space="0"/>
              <w:left w:val="nil"/>
              <w:bottom w:val="single" w:color="auto" w:sz="4" w:space="0"/>
              <w:right w:val="single" w:color="auto" w:sz="4" w:space="0"/>
            </w:tcBorders>
            <w:noWrap w:val="0"/>
            <w:vAlign w:val="center"/>
          </w:tcPr>
          <w:p w14:paraId="156BE6BB">
            <w:pPr>
              <w:keepNext w:val="0"/>
              <w:keepLines w:val="0"/>
              <w:pageBreakBefore w:val="0"/>
              <w:kinsoku/>
              <w:wordWrap/>
              <w:overflowPunct/>
              <w:topLinePunct w:val="0"/>
              <w:autoSpaceDE/>
              <w:autoSpaceDN/>
              <w:bidi w:val="0"/>
              <w:adjustRightInd/>
              <w:snapToGrid/>
              <w:spacing w:line="240" w:lineRule="auto"/>
              <w:jc w:val="left"/>
              <w:textAlignment w:val="auto"/>
              <w:rPr>
                <w:rFonts w:ascii="宋体" w:hAnsi="宋体" w:cs="宋体"/>
                <w:szCs w:val="21"/>
                <w:highlight w:val="none"/>
              </w:rPr>
            </w:pPr>
            <w:r>
              <w:rPr>
                <w:rFonts w:hint="eastAsia" w:ascii="宋体" w:hAnsi="宋体" w:cs="宋体"/>
                <w:szCs w:val="21"/>
                <w:highlight w:val="none"/>
              </w:rPr>
              <w:t>（2）修后枝叶残存，或单枝（芽）超出5cm未剪现象，发现一处扣0.5分。</w:t>
            </w:r>
          </w:p>
        </w:tc>
        <w:tc>
          <w:tcPr>
            <w:tcW w:w="725" w:type="dxa"/>
            <w:tcBorders>
              <w:top w:val="single" w:color="auto" w:sz="4" w:space="0"/>
              <w:left w:val="nil"/>
              <w:bottom w:val="single" w:color="auto" w:sz="4" w:space="0"/>
              <w:right w:val="single" w:color="auto" w:sz="4" w:space="0"/>
            </w:tcBorders>
            <w:noWrap w:val="0"/>
            <w:vAlign w:val="center"/>
          </w:tcPr>
          <w:p w14:paraId="09369185">
            <w:pPr>
              <w:keepNext w:val="0"/>
              <w:keepLines w:val="0"/>
              <w:pageBreakBefore w:val="0"/>
              <w:kinsoku/>
              <w:wordWrap/>
              <w:overflowPunct/>
              <w:topLinePunct w:val="0"/>
              <w:autoSpaceDE/>
              <w:autoSpaceDN/>
              <w:bidi w:val="0"/>
              <w:adjustRightInd/>
              <w:snapToGrid/>
              <w:spacing w:line="240" w:lineRule="auto"/>
              <w:ind w:firstLine="420" w:firstLineChars="200"/>
              <w:jc w:val="left"/>
              <w:textAlignment w:val="auto"/>
              <w:rPr>
                <w:rFonts w:ascii="宋体" w:hAnsi="宋体" w:cs="宋体"/>
                <w:szCs w:val="21"/>
                <w:highlight w:val="none"/>
              </w:rPr>
            </w:pPr>
          </w:p>
        </w:tc>
        <w:tc>
          <w:tcPr>
            <w:tcW w:w="2034" w:type="dxa"/>
            <w:tcBorders>
              <w:top w:val="single" w:color="auto" w:sz="4" w:space="0"/>
              <w:left w:val="nil"/>
              <w:bottom w:val="single" w:color="auto" w:sz="4" w:space="0"/>
              <w:right w:val="single" w:color="auto" w:sz="4" w:space="0"/>
            </w:tcBorders>
            <w:noWrap w:val="0"/>
            <w:vAlign w:val="center"/>
          </w:tcPr>
          <w:p w14:paraId="253BD396">
            <w:pPr>
              <w:keepNext w:val="0"/>
              <w:keepLines w:val="0"/>
              <w:pageBreakBefore w:val="0"/>
              <w:kinsoku/>
              <w:wordWrap/>
              <w:overflowPunct/>
              <w:topLinePunct w:val="0"/>
              <w:autoSpaceDE/>
              <w:autoSpaceDN/>
              <w:bidi w:val="0"/>
              <w:adjustRightInd/>
              <w:snapToGrid/>
              <w:spacing w:line="240" w:lineRule="auto"/>
              <w:ind w:firstLine="420" w:firstLineChars="200"/>
              <w:jc w:val="left"/>
              <w:textAlignment w:val="auto"/>
              <w:rPr>
                <w:rFonts w:ascii="宋体" w:hAnsi="宋体" w:cs="宋体"/>
                <w:szCs w:val="21"/>
                <w:highlight w:val="none"/>
              </w:rPr>
            </w:pPr>
          </w:p>
        </w:tc>
      </w:tr>
      <w:tr w14:paraId="0668F331">
        <w:tblPrEx>
          <w:tblCellMar>
            <w:top w:w="0" w:type="dxa"/>
            <w:left w:w="108" w:type="dxa"/>
            <w:bottom w:w="0" w:type="dxa"/>
            <w:right w:w="108" w:type="dxa"/>
          </w:tblCellMar>
        </w:tblPrEx>
        <w:trPr>
          <w:trHeight w:val="612" w:hRule="atLeast"/>
          <w:jc w:val="center"/>
        </w:trPr>
        <w:tc>
          <w:tcPr>
            <w:tcW w:w="1108" w:type="dxa"/>
            <w:vMerge w:val="continue"/>
            <w:tcBorders>
              <w:top w:val="single" w:color="auto" w:sz="4" w:space="0"/>
              <w:left w:val="single" w:color="auto" w:sz="4" w:space="0"/>
              <w:bottom w:val="single" w:color="auto" w:sz="4" w:space="0"/>
              <w:right w:val="single" w:color="auto" w:sz="4" w:space="0"/>
            </w:tcBorders>
            <w:noWrap w:val="0"/>
            <w:vAlign w:val="center"/>
          </w:tcPr>
          <w:p w14:paraId="23B99339">
            <w:pPr>
              <w:keepNext w:val="0"/>
              <w:keepLines w:val="0"/>
              <w:pageBreakBefore w:val="0"/>
              <w:kinsoku/>
              <w:wordWrap/>
              <w:overflowPunct/>
              <w:topLinePunct w:val="0"/>
              <w:autoSpaceDE/>
              <w:autoSpaceDN/>
              <w:bidi w:val="0"/>
              <w:adjustRightInd/>
              <w:snapToGrid/>
              <w:spacing w:line="240" w:lineRule="auto"/>
              <w:ind w:firstLine="420" w:firstLineChars="200"/>
              <w:jc w:val="both"/>
              <w:textAlignment w:val="auto"/>
              <w:rPr>
                <w:rFonts w:ascii="宋体" w:hAnsi="宋体" w:cs="宋体"/>
                <w:szCs w:val="21"/>
                <w:highlight w:val="none"/>
              </w:rPr>
            </w:pPr>
          </w:p>
        </w:tc>
        <w:tc>
          <w:tcPr>
            <w:tcW w:w="2949" w:type="dxa"/>
            <w:vMerge w:val="restart"/>
            <w:tcBorders>
              <w:top w:val="single" w:color="auto" w:sz="4" w:space="0"/>
              <w:left w:val="nil"/>
              <w:bottom w:val="single" w:color="auto" w:sz="4" w:space="0"/>
              <w:right w:val="single" w:color="auto" w:sz="4" w:space="0"/>
            </w:tcBorders>
            <w:noWrap w:val="0"/>
            <w:vAlign w:val="center"/>
          </w:tcPr>
          <w:p w14:paraId="23FE5AAC">
            <w:pPr>
              <w:keepNext w:val="0"/>
              <w:keepLines w:val="0"/>
              <w:pageBreakBefore w:val="0"/>
              <w:kinsoku/>
              <w:wordWrap/>
              <w:overflowPunct/>
              <w:topLinePunct w:val="0"/>
              <w:autoSpaceDE/>
              <w:autoSpaceDN/>
              <w:bidi w:val="0"/>
              <w:adjustRightInd/>
              <w:snapToGrid/>
              <w:spacing w:line="240" w:lineRule="auto"/>
              <w:jc w:val="left"/>
              <w:textAlignment w:val="auto"/>
              <w:rPr>
                <w:rFonts w:ascii="宋体" w:hAnsi="宋体" w:cs="宋体"/>
                <w:szCs w:val="21"/>
                <w:highlight w:val="none"/>
              </w:rPr>
            </w:pPr>
            <w:r>
              <w:rPr>
                <w:rFonts w:hint="eastAsia" w:ascii="宋体" w:hAnsi="宋体" w:cs="宋体"/>
                <w:szCs w:val="21"/>
                <w:highlight w:val="none"/>
              </w:rPr>
              <w:t xml:space="preserve">地被草坪修剪   </w:t>
            </w:r>
          </w:p>
          <w:p w14:paraId="032A1403">
            <w:pPr>
              <w:keepNext w:val="0"/>
              <w:keepLines w:val="0"/>
              <w:pageBreakBefore w:val="0"/>
              <w:kinsoku/>
              <w:wordWrap/>
              <w:overflowPunct/>
              <w:topLinePunct w:val="0"/>
              <w:autoSpaceDE/>
              <w:autoSpaceDN/>
              <w:bidi w:val="0"/>
              <w:adjustRightInd/>
              <w:snapToGrid/>
              <w:spacing w:line="240" w:lineRule="auto"/>
              <w:jc w:val="left"/>
              <w:textAlignment w:val="auto"/>
              <w:rPr>
                <w:rFonts w:ascii="宋体" w:hAnsi="宋体" w:cs="宋体"/>
                <w:szCs w:val="21"/>
                <w:highlight w:val="none"/>
              </w:rPr>
            </w:pPr>
            <w:r>
              <w:rPr>
                <w:rFonts w:hint="eastAsia" w:ascii="宋体" w:hAnsi="宋体" w:cs="宋体"/>
                <w:szCs w:val="21"/>
                <w:highlight w:val="none"/>
              </w:rPr>
              <w:t xml:space="preserve">1、根据不同地被、草坪品种，及时修剪，其中暖季型草坪秋后最后一次需重修； </w:t>
            </w:r>
          </w:p>
          <w:p w14:paraId="1AD90E9D">
            <w:pPr>
              <w:keepNext w:val="0"/>
              <w:keepLines w:val="0"/>
              <w:pageBreakBefore w:val="0"/>
              <w:kinsoku/>
              <w:wordWrap/>
              <w:overflowPunct/>
              <w:topLinePunct w:val="0"/>
              <w:autoSpaceDE/>
              <w:autoSpaceDN/>
              <w:bidi w:val="0"/>
              <w:adjustRightInd/>
              <w:snapToGrid/>
              <w:spacing w:line="240" w:lineRule="auto"/>
              <w:jc w:val="left"/>
              <w:textAlignment w:val="auto"/>
              <w:rPr>
                <w:rFonts w:ascii="宋体" w:hAnsi="宋体" w:cs="宋体"/>
                <w:szCs w:val="21"/>
                <w:highlight w:val="none"/>
              </w:rPr>
            </w:pPr>
            <w:r>
              <w:rPr>
                <w:rFonts w:hint="eastAsia" w:ascii="宋体" w:hAnsi="宋体" w:cs="宋体"/>
                <w:szCs w:val="21"/>
                <w:highlight w:val="none"/>
              </w:rPr>
              <w:t xml:space="preserve">2、草坪中的树坑边缘应切边，保持线条清晰。                                 </w:t>
            </w:r>
          </w:p>
        </w:tc>
        <w:tc>
          <w:tcPr>
            <w:tcW w:w="3084" w:type="dxa"/>
            <w:tcBorders>
              <w:top w:val="single" w:color="auto" w:sz="4" w:space="0"/>
              <w:left w:val="nil"/>
              <w:bottom w:val="single" w:color="auto" w:sz="4" w:space="0"/>
              <w:right w:val="single" w:color="auto" w:sz="4" w:space="0"/>
            </w:tcBorders>
            <w:noWrap w:val="0"/>
            <w:vAlign w:val="center"/>
          </w:tcPr>
          <w:p w14:paraId="020C5AFA">
            <w:pPr>
              <w:keepNext w:val="0"/>
              <w:keepLines w:val="0"/>
              <w:pageBreakBefore w:val="0"/>
              <w:kinsoku/>
              <w:wordWrap/>
              <w:overflowPunct/>
              <w:topLinePunct w:val="0"/>
              <w:autoSpaceDE/>
              <w:autoSpaceDN/>
              <w:bidi w:val="0"/>
              <w:adjustRightInd/>
              <w:snapToGrid/>
              <w:spacing w:line="240" w:lineRule="auto"/>
              <w:jc w:val="left"/>
              <w:textAlignment w:val="auto"/>
              <w:rPr>
                <w:rFonts w:ascii="宋体" w:hAnsi="宋体" w:cs="宋体"/>
                <w:szCs w:val="21"/>
                <w:highlight w:val="none"/>
              </w:rPr>
            </w:pPr>
            <w:r>
              <w:rPr>
                <w:rFonts w:hint="eastAsia" w:ascii="宋体" w:hAnsi="宋体" w:cs="宋体"/>
                <w:szCs w:val="21"/>
                <w:highlight w:val="none"/>
              </w:rPr>
              <w:t>（1）草坪修剪高度不一致，发现一处扣1分。</w:t>
            </w:r>
          </w:p>
        </w:tc>
        <w:tc>
          <w:tcPr>
            <w:tcW w:w="725" w:type="dxa"/>
            <w:tcBorders>
              <w:top w:val="nil"/>
              <w:left w:val="nil"/>
              <w:bottom w:val="single" w:color="auto" w:sz="4" w:space="0"/>
              <w:right w:val="single" w:color="auto" w:sz="4" w:space="0"/>
            </w:tcBorders>
            <w:noWrap w:val="0"/>
            <w:vAlign w:val="center"/>
          </w:tcPr>
          <w:p w14:paraId="31508366">
            <w:pPr>
              <w:keepNext w:val="0"/>
              <w:keepLines w:val="0"/>
              <w:pageBreakBefore w:val="0"/>
              <w:kinsoku/>
              <w:wordWrap/>
              <w:overflowPunct/>
              <w:topLinePunct w:val="0"/>
              <w:autoSpaceDE/>
              <w:autoSpaceDN/>
              <w:bidi w:val="0"/>
              <w:adjustRightInd/>
              <w:snapToGrid/>
              <w:spacing w:line="240" w:lineRule="auto"/>
              <w:ind w:firstLine="420" w:firstLineChars="200"/>
              <w:jc w:val="left"/>
              <w:textAlignment w:val="auto"/>
              <w:rPr>
                <w:rFonts w:ascii="宋体" w:hAnsi="宋体" w:cs="宋体"/>
                <w:szCs w:val="21"/>
                <w:highlight w:val="none"/>
              </w:rPr>
            </w:pPr>
          </w:p>
        </w:tc>
        <w:tc>
          <w:tcPr>
            <w:tcW w:w="2034" w:type="dxa"/>
            <w:tcBorders>
              <w:top w:val="nil"/>
              <w:left w:val="nil"/>
              <w:bottom w:val="single" w:color="auto" w:sz="4" w:space="0"/>
              <w:right w:val="single" w:color="auto" w:sz="4" w:space="0"/>
            </w:tcBorders>
            <w:noWrap w:val="0"/>
            <w:vAlign w:val="center"/>
          </w:tcPr>
          <w:p w14:paraId="749300F8">
            <w:pPr>
              <w:keepNext w:val="0"/>
              <w:keepLines w:val="0"/>
              <w:pageBreakBefore w:val="0"/>
              <w:kinsoku/>
              <w:wordWrap/>
              <w:overflowPunct/>
              <w:topLinePunct w:val="0"/>
              <w:autoSpaceDE/>
              <w:autoSpaceDN/>
              <w:bidi w:val="0"/>
              <w:adjustRightInd/>
              <w:snapToGrid/>
              <w:spacing w:line="240" w:lineRule="auto"/>
              <w:ind w:firstLine="420" w:firstLineChars="200"/>
              <w:jc w:val="left"/>
              <w:textAlignment w:val="auto"/>
              <w:rPr>
                <w:rFonts w:ascii="宋体" w:hAnsi="宋体" w:cs="宋体"/>
                <w:szCs w:val="21"/>
                <w:highlight w:val="none"/>
              </w:rPr>
            </w:pPr>
          </w:p>
        </w:tc>
      </w:tr>
      <w:tr w14:paraId="402EC5F1">
        <w:tblPrEx>
          <w:tblCellMar>
            <w:top w:w="0" w:type="dxa"/>
            <w:left w:w="108" w:type="dxa"/>
            <w:bottom w:w="0" w:type="dxa"/>
            <w:right w:w="108" w:type="dxa"/>
          </w:tblCellMar>
        </w:tblPrEx>
        <w:trPr>
          <w:trHeight w:val="554" w:hRule="atLeast"/>
          <w:jc w:val="center"/>
        </w:trPr>
        <w:tc>
          <w:tcPr>
            <w:tcW w:w="1108" w:type="dxa"/>
            <w:vMerge w:val="continue"/>
            <w:tcBorders>
              <w:top w:val="single" w:color="auto" w:sz="4" w:space="0"/>
              <w:left w:val="single" w:color="auto" w:sz="4" w:space="0"/>
              <w:bottom w:val="single" w:color="auto" w:sz="4" w:space="0"/>
              <w:right w:val="single" w:color="auto" w:sz="4" w:space="0"/>
            </w:tcBorders>
            <w:noWrap w:val="0"/>
            <w:vAlign w:val="center"/>
          </w:tcPr>
          <w:p w14:paraId="4B7F762F">
            <w:pPr>
              <w:keepNext w:val="0"/>
              <w:keepLines w:val="0"/>
              <w:pageBreakBefore w:val="0"/>
              <w:kinsoku/>
              <w:wordWrap/>
              <w:overflowPunct/>
              <w:topLinePunct w:val="0"/>
              <w:autoSpaceDE/>
              <w:autoSpaceDN/>
              <w:bidi w:val="0"/>
              <w:adjustRightInd/>
              <w:snapToGrid/>
              <w:spacing w:line="240" w:lineRule="auto"/>
              <w:ind w:firstLine="420" w:firstLineChars="200"/>
              <w:jc w:val="both"/>
              <w:textAlignment w:val="auto"/>
              <w:rPr>
                <w:rFonts w:ascii="宋体" w:hAnsi="宋体" w:cs="宋体"/>
                <w:szCs w:val="21"/>
                <w:highlight w:val="none"/>
              </w:rPr>
            </w:pPr>
          </w:p>
        </w:tc>
        <w:tc>
          <w:tcPr>
            <w:tcW w:w="2949" w:type="dxa"/>
            <w:vMerge w:val="continue"/>
            <w:tcBorders>
              <w:top w:val="single" w:color="auto" w:sz="4" w:space="0"/>
              <w:left w:val="nil"/>
              <w:bottom w:val="single" w:color="auto" w:sz="4" w:space="0"/>
              <w:right w:val="single" w:color="auto" w:sz="4" w:space="0"/>
            </w:tcBorders>
            <w:noWrap w:val="0"/>
            <w:vAlign w:val="center"/>
          </w:tcPr>
          <w:p w14:paraId="2FC20064">
            <w:pPr>
              <w:keepNext w:val="0"/>
              <w:keepLines w:val="0"/>
              <w:pageBreakBefore w:val="0"/>
              <w:kinsoku/>
              <w:wordWrap/>
              <w:overflowPunct/>
              <w:topLinePunct w:val="0"/>
              <w:autoSpaceDE/>
              <w:autoSpaceDN/>
              <w:bidi w:val="0"/>
              <w:adjustRightInd/>
              <w:snapToGrid/>
              <w:spacing w:line="240" w:lineRule="auto"/>
              <w:ind w:firstLine="420" w:firstLineChars="200"/>
              <w:jc w:val="left"/>
              <w:textAlignment w:val="auto"/>
              <w:rPr>
                <w:rFonts w:ascii="宋体" w:hAnsi="宋体" w:cs="宋体"/>
                <w:szCs w:val="21"/>
                <w:highlight w:val="none"/>
              </w:rPr>
            </w:pPr>
          </w:p>
        </w:tc>
        <w:tc>
          <w:tcPr>
            <w:tcW w:w="3084" w:type="dxa"/>
            <w:tcBorders>
              <w:top w:val="single" w:color="auto" w:sz="4" w:space="0"/>
              <w:left w:val="nil"/>
              <w:bottom w:val="single" w:color="auto" w:sz="4" w:space="0"/>
              <w:right w:val="single" w:color="auto" w:sz="4" w:space="0"/>
            </w:tcBorders>
            <w:noWrap w:val="0"/>
            <w:vAlign w:val="center"/>
          </w:tcPr>
          <w:p w14:paraId="4077C572">
            <w:pPr>
              <w:keepNext w:val="0"/>
              <w:keepLines w:val="0"/>
              <w:pageBreakBefore w:val="0"/>
              <w:kinsoku/>
              <w:wordWrap/>
              <w:overflowPunct/>
              <w:topLinePunct w:val="0"/>
              <w:autoSpaceDE/>
              <w:autoSpaceDN/>
              <w:bidi w:val="0"/>
              <w:adjustRightInd/>
              <w:snapToGrid/>
              <w:spacing w:line="240" w:lineRule="auto"/>
              <w:jc w:val="left"/>
              <w:textAlignment w:val="auto"/>
              <w:rPr>
                <w:rFonts w:ascii="宋体" w:hAnsi="宋体" w:cs="宋体"/>
                <w:szCs w:val="21"/>
                <w:highlight w:val="none"/>
              </w:rPr>
            </w:pPr>
            <w:r>
              <w:rPr>
                <w:rFonts w:hint="eastAsia" w:ascii="宋体" w:hAnsi="宋体" w:cs="宋体"/>
                <w:szCs w:val="21"/>
                <w:highlight w:val="none"/>
              </w:rPr>
              <w:t>（2）草坪中的树坑边缘切边不平的，发现一处扣1分。</w:t>
            </w:r>
          </w:p>
        </w:tc>
        <w:tc>
          <w:tcPr>
            <w:tcW w:w="725" w:type="dxa"/>
            <w:tcBorders>
              <w:top w:val="single" w:color="auto" w:sz="4" w:space="0"/>
              <w:left w:val="nil"/>
              <w:bottom w:val="single" w:color="auto" w:sz="4" w:space="0"/>
              <w:right w:val="single" w:color="auto" w:sz="4" w:space="0"/>
            </w:tcBorders>
            <w:noWrap w:val="0"/>
            <w:vAlign w:val="center"/>
          </w:tcPr>
          <w:p w14:paraId="36A7E79D">
            <w:pPr>
              <w:keepNext w:val="0"/>
              <w:keepLines w:val="0"/>
              <w:pageBreakBefore w:val="0"/>
              <w:kinsoku/>
              <w:wordWrap/>
              <w:overflowPunct/>
              <w:topLinePunct w:val="0"/>
              <w:autoSpaceDE/>
              <w:autoSpaceDN/>
              <w:bidi w:val="0"/>
              <w:adjustRightInd/>
              <w:snapToGrid/>
              <w:spacing w:line="240" w:lineRule="auto"/>
              <w:ind w:firstLine="420" w:firstLineChars="200"/>
              <w:jc w:val="left"/>
              <w:textAlignment w:val="auto"/>
              <w:rPr>
                <w:rFonts w:ascii="宋体" w:hAnsi="宋体" w:cs="宋体"/>
                <w:szCs w:val="21"/>
                <w:highlight w:val="none"/>
              </w:rPr>
            </w:pPr>
          </w:p>
        </w:tc>
        <w:tc>
          <w:tcPr>
            <w:tcW w:w="2034" w:type="dxa"/>
            <w:tcBorders>
              <w:top w:val="single" w:color="auto" w:sz="4" w:space="0"/>
              <w:left w:val="nil"/>
              <w:bottom w:val="single" w:color="auto" w:sz="4" w:space="0"/>
              <w:right w:val="single" w:color="auto" w:sz="4" w:space="0"/>
            </w:tcBorders>
            <w:noWrap w:val="0"/>
            <w:vAlign w:val="center"/>
          </w:tcPr>
          <w:p w14:paraId="5709A62B">
            <w:pPr>
              <w:keepNext w:val="0"/>
              <w:keepLines w:val="0"/>
              <w:pageBreakBefore w:val="0"/>
              <w:kinsoku/>
              <w:wordWrap/>
              <w:overflowPunct/>
              <w:topLinePunct w:val="0"/>
              <w:autoSpaceDE/>
              <w:autoSpaceDN/>
              <w:bidi w:val="0"/>
              <w:adjustRightInd/>
              <w:snapToGrid/>
              <w:spacing w:line="240" w:lineRule="auto"/>
              <w:ind w:firstLine="420" w:firstLineChars="200"/>
              <w:jc w:val="left"/>
              <w:textAlignment w:val="auto"/>
              <w:rPr>
                <w:rFonts w:ascii="宋体" w:hAnsi="宋体" w:cs="宋体"/>
                <w:szCs w:val="21"/>
                <w:highlight w:val="none"/>
              </w:rPr>
            </w:pPr>
          </w:p>
        </w:tc>
      </w:tr>
      <w:tr w14:paraId="7FD0793A">
        <w:tblPrEx>
          <w:tblCellMar>
            <w:top w:w="0" w:type="dxa"/>
            <w:left w:w="108" w:type="dxa"/>
            <w:bottom w:w="0" w:type="dxa"/>
            <w:right w:w="108" w:type="dxa"/>
          </w:tblCellMar>
        </w:tblPrEx>
        <w:trPr>
          <w:trHeight w:val="716" w:hRule="atLeast"/>
          <w:jc w:val="center"/>
        </w:trPr>
        <w:tc>
          <w:tcPr>
            <w:tcW w:w="1108" w:type="dxa"/>
            <w:vMerge w:val="restart"/>
            <w:tcBorders>
              <w:top w:val="single" w:color="auto" w:sz="4" w:space="0"/>
              <w:left w:val="single" w:color="auto" w:sz="4" w:space="0"/>
              <w:bottom w:val="single" w:color="auto" w:sz="4" w:space="0"/>
              <w:right w:val="single" w:color="auto" w:sz="4" w:space="0"/>
            </w:tcBorders>
            <w:noWrap w:val="0"/>
            <w:vAlign w:val="center"/>
          </w:tcPr>
          <w:p w14:paraId="20D66E2A">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cs="宋体"/>
                <w:szCs w:val="21"/>
                <w:highlight w:val="none"/>
              </w:rPr>
            </w:pPr>
            <w:r>
              <w:rPr>
                <w:rFonts w:hint="eastAsia" w:ascii="宋体" w:hAnsi="宋体" w:cs="宋体"/>
                <w:szCs w:val="21"/>
                <w:highlight w:val="none"/>
              </w:rPr>
              <w:t>施肥</w:t>
            </w:r>
          </w:p>
          <w:p w14:paraId="390A1432">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cs="宋体"/>
                <w:szCs w:val="21"/>
                <w:highlight w:val="none"/>
              </w:rPr>
            </w:pPr>
            <w:r>
              <w:rPr>
                <w:rFonts w:hint="eastAsia" w:ascii="宋体" w:hAnsi="宋体" w:cs="宋体"/>
                <w:szCs w:val="21"/>
                <w:highlight w:val="none"/>
              </w:rPr>
              <w:t>（10分）</w:t>
            </w:r>
          </w:p>
        </w:tc>
        <w:tc>
          <w:tcPr>
            <w:tcW w:w="2949" w:type="dxa"/>
            <w:vMerge w:val="restart"/>
            <w:tcBorders>
              <w:top w:val="single" w:color="auto" w:sz="4" w:space="0"/>
              <w:left w:val="nil"/>
              <w:bottom w:val="single" w:color="auto" w:sz="4" w:space="0"/>
              <w:right w:val="single" w:color="auto" w:sz="4" w:space="0"/>
            </w:tcBorders>
            <w:noWrap w:val="0"/>
            <w:vAlign w:val="center"/>
          </w:tcPr>
          <w:p w14:paraId="23F06F88">
            <w:pPr>
              <w:keepNext w:val="0"/>
              <w:keepLines w:val="0"/>
              <w:pageBreakBefore w:val="0"/>
              <w:kinsoku/>
              <w:wordWrap/>
              <w:overflowPunct/>
              <w:topLinePunct w:val="0"/>
              <w:autoSpaceDE/>
              <w:autoSpaceDN/>
              <w:bidi w:val="0"/>
              <w:adjustRightInd/>
              <w:snapToGrid/>
              <w:spacing w:line="240" w:lineRule="auto"/>
              <w:jc w:val="left"/>
              <w:textAlignment w:val="auto"/>
              <w:rPr>
                <w:rFonts w:ascii="宋体" w:hAnsi="宋体" w:cs="宋体"/>
                <w:szCs w:val="21"/>
                <w:highlight w:val="none"/>
              </w:rPr>
            </w:pPr>
            <w:r>
              <w:rPr>
                <w:rFonts w:hint="eastAsia" w:ascii="宋体" w:hAnsi="宋体" w:cs="宋体"/>
                <w:szCs w:val="21"/>
                <w:highlight w:val="none"/>
              </w:rPr>
              <w:t>1、根据植株生长势，及时追肥；</w:t>
            </w:r>
          </w:p>
          <w:p w14:paraId="04F06351">
            <w:pPr>
              <w:keepNext w:val="0"/>
              <w:keepLines w:val="0"/>
              <w:pageBreakBefore w:val="0"/>
              <w:kinsoku/>
              <w:wordWrap/>
              <w:overflowPunct/>
              <w:topLinePunct w:val="0"/>
              <w:autoSpaceDE/>
              <w:autoSpaceDN/>
              <w:bidi w:val="0"/>
              <w:adjustRightInd/>
              <w:snapToGrid/>
              <w:spacing w:line="240" w:lineRule="auto"/>
              <w:jc w:val="left"/>
              <w:textAlignment w:val="auto"/>
              <w:rPr>
                <w:rFonts w:ascii="宋体" w:hAnsi="宋体" w:cs="宋体"/>
                <w:szCs w:val="21"/>
                <w:highlight w:val="none"/>
              </w:rPr>
            </w:pPr>
            <w:r>
              <w:rPr>
                <w:rFonts w:hint="eastAsia" w:ascii="宋体" w:hAnsi="宋体" w:cs="宋体"/>
                <w:szCs w:val="21"/>
                <w:highlight w:val="none"/>
              </w:rPr>
              <w:t>2、根据草坪生长势，及时施肥，用量适当，不发生灼伤现象。</w:t>
            </w:r>
          </w:p>
        </w:tc>
        <w:tc>
          <w:tcPr>
            <w:tcW w:w="3084" w:type="dxa"/>
            <w:tcBorders>
              <w:top w:val="single" w:color="auto" w:sz="4" w:space="0"/>
              <w:left w:val="nil"/>
              <w:bottom w:val="single" w:color="auto" w:sz="4" w:space="0"/>
              <w:right w:val="single" w:color="auto" w:sz="4" w:space="0"/>
            </w:tcBorders>
            <w:noWrap w:val="0"/>
            <w:vAlign w:val="center"/>
          </w:tcPr>
          <w:p w14:paraId="64150C8E">
            <w:pPr>
              <w:keepNext w:val="0"/>
              <w:keepLines w:val="0"/>
              <w:pageBreakBefore w:val="0"/>
              <w:kinsoku/>
              <w:wordWrap/>
              <w:overflowPunct/>
              <w:topLinePunct w:val="0"/>
              <w:autoSpaceDE/>
              <w:autoSpaceDN/>
              <w:bidi w:val="0"/>
              <w:adjustRightInd/>
              <w:snapToGrid/>
              <w:spacing w:line="240" w:lineRule="auto"/>
              <w:jc w:val="left"/>
              <w:textAlignment w:val="auto"/>
              <w:rPr>
                <w:rFonts w:ascii="宋体" w:hAnsi="宋体" w:cs="宋体"/>
                <w:szCs w:val="21"/>
                <w:highlight w:val="none"/>
              </w:rPr>
            </w:pPr>
            <w:r>
              <w:rPr>
                <w:rFonts w:hint="eastAsia" w:ascii="宋体" w:hAnsi="宋体" w:cs="宋体"/>
                <w:szCs w:val="21"/>
                <w:highlight w:val="none"/>
              </w:rPr>
              <w:t>（1）未及时追肥，造成生长势衰弱，乔木每株扣2分，花灌木每株扣1分。</w:t>
            </w:r>
          </w:p>
        </w:tc>
        <w:tc>
          <w:tcPr>
            <w:tcW w:w="725" w:type="dxa"/>
            <w:tcBorders>
              <w:top w:val="single" w:color="auto" w:sz="4" w:space="0"/>
              <w:left w:val="nil"/>
              <w:bottom w:val="single" w:color="auto" w:sz="4" w:space="0"/>
              <w:right w:val="single" w:color="auto" w:sz="4" w:space="0"/>
            </w:tcBorders>
            <w:noWrap w:val="0"/>
            <w:vAlign w:val="center"/>
          </w:tcPr>
          <w:p w14:paraId="5F91F1E4">
            <w:pPr>
              <w:keepNext w:val="0"/>
              <w:keepLines w:val="0"/>
              <w:pageBreakBefore w:val="0"/>
              <w:kinsoku/>
              <w:wordWrap/>
              <w:overflowPunct/>
              <w:topLinePunct w:val="0"/>
              <w:autoSpaceDE/>
              <w:autoSpaceDN/>
              <w:bidi w:val="0"/>
              <w:adjustRightInd/>
              <w:snapToGrid/>
              <w:spacing w:line="240" w:lineRule="auto"/>
              <w:ind w:firstLine="420" w:firstLineChars="200"/>
              <w:jc w:val="left"/>
              <w:textAlignment w:val="auto"/>
              <w:rPr>
                <w:rFonts w:ascii="宋体" w:hAnsi="宋体" w:cs="宋体"/>
                <w:szCs w:val="21"/>
                <w:highlight w:val="none"/>
              </w:rPr>
            </w:pPr>
          </w:p>
        </w:tc>
        <w:tc>
          <w:tcPr>
            <w:tcW w:w="2034" w:type="dxa"/>
            <w:tcBorders>
              <w:top w:val="single" w:color="auto" w:sz="4" w:space="0"/>
              <w:left w:val="nil"/>
              <w:bottom w:val="single" w:color="auto" w:sz="4" w:space="0"/>
              <w:right w:val="single" w:color="auto" w:sz="4" w:space="0"/>
            </w:tcBorders>
            <w:noWrap w:val="0"/>
            <w:vAlign w:val="center"/>
          </w:tcPr>
          <w:p w14:paraId="7C4244FB">
            <w:pPr>
              <w:keepNext w:val="0"/>
              <w:keepLines w:val="0"/>
              <w:pageBreakBefore w:val="0"/>
              <w:kinsoku/>
              <w:wordWrap/>
              <w:overflowPunct/>
              <w:topLinePunct w:val="0"/>
              <w:autoSpaceDE/>
              <w:autoSpaceDN/>
              <w:bidi w:val="0"/>
              <w:adjustRightInd/>
              <w:snapToGrid/>
              <w:spacing w:line="240" w:lineRule="auto"/>
              <w:ind w:firstLine="420" w:firstLineChars="200"/>
              <w:jc w:val="left"/>
              <w:textAlignment w:val="auto"/>
              <w:rPr>
                <w:rFonts w:ascii="宋体" w:hAnsi="宋体" w:cs="宋体"/>
                <w:szCs w:val="21"/>
                <w:highlight w:val="none"/>
              </w:rPr>
            </w:pPr>
          </w:p>
        </w:tc>
      </w:tr>
      <w:tr w14:paraId="5076BF04">
        <w:tblPrEx>
          <w:tblCellMar>
            <w:top w:w="0" w:type="dxa"/>
            <w:left w:w="108" w:type="dxa"/>
            <w:bottom w:w="0" w:type="dxa"/>
            <w:right w:w="108" w:type="dxa"/>
          </w:tblCellMar>
        </w:tblPrEx>
        <w:trPr>
          <w:trHeight w:val="442" w:hRule="atLeast"/>
          <w:jc w:val="center"/>
        </w:trPr>
        <w:tc>
          <w:tcPr>
            <w:tcW w:w="1108" w:type="dxa"/>
            <w:vMerge w:val="continue"/>
            <w:tcBorders>
              <w:top w:val="single" w:color="auto" w:sz="4" w:space="0"/>
              <w:left w:val="single" w:color="auto" w:sz="4" w:space="0"/>
              <w:bottom w:val="single" w:color="auto" w:sz="4" w:space="0"/>
              <w:right w:val="single" w:color="auto" w:sz="4" w:space="0"/>
            </w:tcBorders>
            <w:noWrap w:val="0"/>
            <w:vAlign w:val="center"/>
          </w:tcPr>
          <w:p w14:paraId="1100A89A">
            <w:pPr>
              <w:keepNext w:val="0"/>
              <w:keepLines w:val="0"/>
              <w:pageBreakBefore w:val="0"/>
              <w:kinsoku/>
              <w:wordWrap/>
              <w:overflowPunct/>
              <w:topLinePunct w:val="0"/>
              <w:autoSpaceDE/>
              <w:autoSpaceDN/>
              <w:bidi w:val="0"/>
              <w:adjustRightInd/>
              <w:snapToGrid/>
              <w:spacing w:line="240" w:lineRule="auto"/>
              <w:ind w:firstLine="420" w:firstLineChars="200"/>
              <w:jc w:val="both"/>
              <w:textAlignment w:val="auto"/>
              <w:rPr>
                <w:rFonts w:ascii="宋体" w:hAnsi="宋体" w:cs="宋体"/>
                <w:szCs w:val="21"/>
                <w:highlight w:val="none"/>
              </w:rPr>
            </w:pPr>
          </w:p>
        </w:tc>
        <w:tc>
          <w:tcPr>
            <w:tcW w:w="2949" w:type="dxa"/>
            <w:vMerge w:val="continue"/>
            <w:tcBorders>
              <w:top w:val="single" w:color="auto" w:sz="4" w:space="0"/>
              <w:left w:val="nil"/>
              <w:bottom w:val="single" w:color="auto" w:sz="4" w:space="0"/>
              <w:right w:val="single" w:color="auto" w:sz="4" w:space="0"/>
            </w:tcBorders>
            <w:noWrap w:val="0"/>
            <w:vAlign w:val="center"/>
          </w:tcPr>
          <w:p w14:paraId="28177238">
            <w:pPr>
              <w:keepNext w:val="0"/>
              <w:keepLines w:val="0"/>
              <w:pageBreakBefore w:val="0"/>
              <w:kinsoku/>
              <w:wordWrap/>
              <w:overflowPunct/>
              <w:topLinePunct w:val="0"/>
              <w:autoSpaceDE/>
              <w:autoSpaceDN/>
              <w:bidi w:val="0"/>
              <w:adjustRightInd/>
              <w:snapToGrid/>
              <w:spacing w:line="240" w:lineRule="auto"/>
              <w:ind w:firstLine="420" w:firstLineChars="200"/>
              <w:jc w:val="left"/>
              <w:textAlignment w:val="auto"/>
              <w:rPr>
                <w:rFonts w:ascii="宋体" w:hAnsi="宋体" w:cs="宋体"/>
                <w:szCs w:val="21"/>
                <w:highlight w:val="none"/>
              </w:rPr>
            </w:pPr>
          </w:p>
        </w:tc>
        <w:tc>
          <w:tcPr>
            <w:tcW w:w="3084" w:type="dxa"/>
            <w:tcBorders>
              <w:top w:val="single" w:color="auto" w:sz="4" w:space="0"/>
              <w:left w:val="nil"/>
              <w:bottom w:val="single" w:color="auto" w:sz="4" w:space="0"/>
              <w:right w:val="single" w:color="auto" w:sz="4" w:space="0"/>
            </w:tcBorders>
            <w:noWrap w:val="0"/>
            <w:vAlign w:val="center"/>
          </w:tcPr>
          <w:p w14:paraId="2A5286A0">
            <w:pPr>
              <w:keepNext w:val="0"/>
              <w:keepLines w:val="0"/>
              <w:pageBreakBefore w:val="0"/>
              <w:kinsoku/>
              <w:wordWrap/>
              <w:overflowPunct/>
              <w:topLinePunct w:val="0"/>
              <w:autoSpaceDE/>
              <w:autoSpaceDN/>
              <w:bidi w:val="0"/>
              <w:adjustRightInd/>
              <w:snapToGrid/>
              <w:spacing w:line="240" w:lineRule="auto"/>
              <w:jc w:val="left"/>
              <w:textAlignment w:val="auto"/>
              <w:rPr>
                <w:rFonts w:ascii="宋体" w:hAnsi="宋体" w:cs="宋体"/>
                <w:szCs w:val="21"/>
                <w:highlight w:val="none"/>
              </w:rPr>
            </w:pPr>
            <w:r>
              <w:rPr>
                <w:rFonts w:hint="eastAsia" w:ascii="宋体" w:hAnsi="宋体" w:cs="宋体"/>
                <w:szCs w:val="21"/>
                <w:highlight w:val="none"/>
              </w:rPr>
              <w:t>（2）发现施肥不及时或有灼伤现象，每次扣3.0分。</w:t>
            </w:r>
          </w:p>
        </w:tc>
        <w:tc>
          <w:tcPr>
            <w:tcW w:w="725" w:type="dxa"/>
            <w:tcBorders>
              <w:top w:val="nil"/>
              <w:left w:val="nil"/>
              <w:bottom w:val="single" w:color="auto" w:sz="4" w:space="0"/>
              <w:right w:val="single" w:color="auto" w:sz="4" w:space="0"/>
            </w:tcBorders>
            <w:noWrap w:val="0"/>
            <w:vAlign w:val="center"/>
          </w:tcPr>
          <w:p w14:paraId="4E4D9AFA">
            <w:pPr>
              <w:keepNext w:val="0"/>
              <w:keepLines w:val="0"/>
              <w:pageBreakBefore w:val="0"/>
              <w:kinsoku/>
              <w:wordWrap/>
              <w:overflowPunct/>
              <w:topLinePunct w:val="0"/>
              <w:autoSpaceDE/>
              <w:autoSpaceDN/>
              <w:bidi w:val="0"/>
              <w:adjustRightInd/>
              <w:snapToGrid/>
              <w:spacing w:line="240" w:lineRule="auto"/>
              <w:ind w:firstLine="420" w:firstLineChars="200"/>
              <w:jc w:val="left"/>
              <w:textAlignment w:val="auto"/>
              <w:rPr>
                <w:rFonts w:ascii="宋体" w:hAnsi="宋体" w:cs="宋体"/>
                <w:szCs w:val="21"/>
                <w:highlight w:val="none"/>
              </w:rPr>
            </w:pPr>
          </w:p>
        </w:tc>
        <w:tc>
          <w:tcPr>
            <w:tcW w:w="2034" w:type="dxa"/>
            <w:tcBorders>
              <w:top w:val="nil"/>
              <w:left w:val="nil"/>
              <w:bottom w:val="single" w:color="auto" w:sz="4" w:space="0"/>
              <w:right w:val="single" w:color="auto" w:sz="4" w:space="0"/>
            </w:tcBorders>
            <w:noWrap w:val="0"/>
            <w:vAlign w:val="center"/>
          </w:tcPr>
          <w:p w14:paraId="320EEF0D">
            <w:pPr>
              <w:keepNext w:val="0"/>
              <w:keepLines w:val="0"/>
              <w:pageBreakBefore w:val="0"/>
              <w:kinsoku/>
              <w:wordWrap/>
              <w:overflowPunct/>
              <w:topLinePunct w:val="0"/>
              <w:autoSpaceDE/>
              <w:autoSpaceDN/>
              <w:bidi w:val="0"/>
              <w:adjustRightInd/>
              <w:snapToGrid/>
              <w:spacing w:line="240" w:lineRule="auto"/>
              <w:ind w:firstLine="420" w:firstLineChars="200"/>
              <w:jc w:val="left"/>
              <w:textAlignment w:val="auto"/>
              <w:rPr>
                <w:rFonts w:ascii="宋体" w:hAnsi="宋体" w:cs="宋体"/>
                <w:szCs w:val="21"/>
                <w:highlight w:val="none"/>
              </w:rPr>
            </w:pPr>
          </w:p>
        </w:tc>
      </w:tr>
      <w:tr w14:paraId="4E92630B">
        <w:tblPrEx>
          <w:tblCellMar>
            <w:top w:w="0" w:type="dxa"/>
            <w:left w:w="108" w:type="dxa"/>
            <w:bottom w:w="0" w:type="dxa"/>
            <w:right w:w="108" w:type="dxa"/>
          </w:tblCellMar>
        </w:tblPrEx>
        <w:trPr>
          <w:trHeight w:val="769" w:hRule="atLeast"/>
          <w:jc w:val="center"/>
        </w:trPr>
        <w:tc>
          <w:tcPr>
            <w:tcW w:w="1108" w:type="dxa"/>
            <w:vMerge w:val="restart"/>
            <w:tcBorders>
              <w:top w:val="single" w:color="auto" w:sz="4" w:space="0"/>
              <w:left w:val="single" w:color="auto" w:sz="4" w:space="0"/>
              <w:right w:val="single" w:color="auto" w:sz="4" w:space="0"/>
            </w:tcBorders>
            <w:noWrap w:val="0"/>
            <w:vAlign w:val="center"/>
          </w:tcPr>
          <w:p w14:paraId="14BEB7D9">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cs="宋体"/>
                <w:szCs w:val="21"/>
                <w:highlight w:val="none"/>
              </w:rPr>
            </w:pPr>
            <w:r>
              <w:rPr>
                <w:rFonts w:hint="eastAsia" w:ascii="宋体" w:hAnsi="宋体" w:cs="宋体"/>
                <w:szCs w:val="21"/>
                <w:highlight w:val="none"/>
              </w:rPr>
              <w:t>病虫害防治</w:t>
            </w:r>
          </w:p>
          <w:p w14:paraId="1009FF8F">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cs="宋体"/>
                <w:szCs w:val="21"/>
                <w:highlight w:val="none"/>
              </w:rPr>
            </w:pPr>
            <w:r>
              <w:rPr>
                <w:rFonts w:hint="eastAsia" w:ascii="宋体" w:hAnsi="宋体" w:cs="宋体"/>
                <w:szCs w:val="21"/>
                <w:highlight w:val="none"/>
              </w:rPr>
              <w:t>（15分）</w:t>
            </w:r>
          </w:p>
        </w:tc>
        <w:tc>
          <w:tcPr>
            <w:tcW w:w="2949" w:type="dxa"/>
            <w:vMerge w:val="restart"/>
            <w:tcBorders>
              <w:top w:val="single" w:color="auto" w:sz="4" w:space="0"/>
              <w:left w:val="nil"/>
              <w:right w:val="single" w:color="auto" w:sz="4" w:space="0"/>
            </w:tcBorders>
            <w:noWrap w:val="0"/>
            <w:vAlign w:val="center"/>
          </w:tcPr>
          <w:p w14:paraId="04E58554">
            <w:pPr>
              <w:keepNext w:val="0"/>
              <w:keepLines w:val="0"/>
              <w:pageBreakBefore w:val="0"/>
              <w:kinsoku/>
              <w:wordWrap/>
              <w:overflowPunct/>
              <w:topLinePunct w:val="0"/>
              <w:autoSpaceDE/>
              <w:autoSpaceDN/>
              <w:bidi w:val="0"/>
              <w:adjustRightInd/>
              <w:snapToGrid/>
              <w:spacing w:line="240" w:lineRule="auto"/>
              <w:jc w:val="left"/>
              <w:textAlignment w:val="auto"/>
              <w:rPr>
                <w:rFonts w:ascii="宋体" w:hAnsi="宋体" w:cs="宋体"/>
                <w:szCs w:val="21"/>
                <w:highlight w:val="none"/>
              </w:rPr>
            </w:pPr>
            <w:r>
              <w:rPr>
                <w:rFonts w:hint="eastAsia" w:ascii="宋体" w:hAnsi="宋体" w:cs="宋体"/>
                <w:szCs w:val="21"/>
                <w:highlight w:val="none"/>
              </w:rPr>
              <w:t xml:space="preserve">1、及时防治和控制病虫害的发生，无群众举报、媒体曝光事件发生；                         </w:t>
            </w:r>
          </w:p>
          <w:p w14:paraId="04CBC002">
            <w:pPr>
              <w:keepNext w:val="0"/>
              <w:keepLines w:val="0"/>
              <w:pageBreakBefore w:val="0"/>
              <w:kinsoku/>
              <w:wordWrap/>
              <w:overflowPunct/>
              <w:topLinePunct w:val="0"/>
              <w:autoSpaceDE/>
              <w:autoSpaceDN/>
              <w:bidi w:val="0"/>
              <w:adjustRightInd/>
              <w:snapToGrid/>
              <w:spacing w:line="240" w:lineRule="auto"/>
              <w:jc w:val="left"/>
              <w:textAlignment w:val="auto"/>
              <w:rPr>
                <w:rFonts w:ascii="宋体" w:hAnsi="宋体" w:cs="宋体"/>
                <w:szCs w:val="21"/>
                <w:highlight w:val="none"/>
              </w:rPr>
            </w:pPr>
            <w:r>
              <w:rPr>
                <w:rFonts w:hint="eastAsia" w:ascii="宋体" w:hAnsi="宋体" w:cs="宋体"/>
                <w:szCs w:val="21"/>
                <w:highlight w:val="none"/>
              </w:rPr>
              <w:t>2、用药配比正确，操作安全，喷药均匀，不发生药害事故。</w:t>
            </w:r>
          </w:p>
        </w:tc>
        <w:tc>
          <w:tcPr>
            <w:tcW w:w="3084" w:type="dxa"/>
            <w:tcBorders>
              <w:top w:val="single" w:color="auto" w:sz="4" w:space="0"/>
              <w:left w:val="nil"/>
              <w:bottom w:val="single" w:color="auto" w:sz="4" w:space="0"/>
              <w:right w:val="single" w:color="auto" w:sz="4" w:space="0"/>
            </w:tcBorders>
            <w:noWrap w:val="0"/>
            <w:vAlign w:val="center"/>
          </w:tcPr>
          <w:p w14:paraId="1CCBE565">
            <w:pPr>
              <w:keepNext w:val="0"/>
              <w:keepLines w:val="0"/>
              <w:pageBreakBefore w:val="0"/>
              <w:kinsoku/>
              <w:wordWrap/>
              <w:overflowPunct/>
              <w:topLinePunct w:val="0"/>
              <w:autoSpaceDE/>
              <w:autoSpaceDN/>
              <w:bidi w:val="0"/>
              <w:adjustRightInd/>
              <w:snapToGrid/>
              <w:spacing w:line="240" w:lineRule="auto"/>
              <w:jc w:val="left"/>
              <w:textAlignment w:val="auto"/>
              <w:rPr>
                <w:rFonts w:ascii="宋体" w:hAnsi="宋体" w:cs="宋体"/>
                <w:szCs w:val="21"/>
                <w:highlight w:val="none"/>
              </w:rPr>
            </w:pPr>
            <w:r>
              <w:rPr>
                <w:rFonts w:hint="eastAsia" w:ascii="宋体" w:hAnsi="宋体" w:cs="宋体"/>
                <w:szCs w:val="21"/>
                <w:highlight w:val="none"/>
              </w:rPr>
              <w:t>（1）乔木、花灌木有明显虫口、虫粪、成（幼）虫现象，发现一株扣0.5分。</w:t>
            </w:r>
          </w:p>
        </w:tc>
        <w:tc>
          <w:tcPr>
            <w:tcW w:w="725" w:type="dxa"/>
            <w:tcBorders>
              <w:top w:val="single" w:color="auto" w:sz="4" w:space="0"/>
              <w:left w:val="nil"/>
              <w:bottom w:val="single" w:color="auto" w:sz="4" w:space="0"/>
              <w:right w:val="single" w:color="auto" w:sz="4" w:space="0"/>
            </w:tcBorders>
            <w:noWrap w:val="0"/>
            <w:vAlign w:val="center"/>
          </w:tcPr>
          <w:p w14:paraId="3A005CD1">
            <w:pPr>
              <w:keepNext w:val="0"/>
              <w:keepLines w:val="0"/>
              <w:pageBreakBefore w:val="0"/>
              <w:kinsoku/>
              <w:wordWrap/>
              <w:overflowPunct/>
              <w:topLinePunct w:val="0"/>
              <w:autoSpaceDE/>
              <w:autoSpaceDN/>
              <w:bidi w:val="0"/>
              <w:adjustRightInd/>
              <w:snapToGrid/>
              <w:spacing w:line="240" w:lineRule="auto"/>
              <w:ind w:firstLine="420" w:firstLineChars="200"/>
              <w:jc w:val="left"/>
              <w:textAlignment w:val="auto"/>
              <w:rPr>
                <w:rFonts w:ascii="宋体" w:hAnsi="宋体" w:cs="宋体"/>
                <w:szCs w:val="21"/>
                <w:highlight w:val="none"/>
              </w:rPr>
            </w:pPr>
          </w:p>
        </w:tc>
        <w:tc>
          <w:tcPr>
            <w:tcW w:w="2034" w:type="dxa"/>
            <w:tcBorders>
              <w:top w:val="single" w:color="auto" w:sz="4" w:space="0"/>
              <w:left w:val="nil"/>
              <w:bottom w:val="single" w:color="auto" w:sz="4" w:space="0"/>
              <w:right w:val="single" w:color="auto" w:sz="4" w:space="0"/>
            </w:tcBorders>
            <w:noWrap w:val="0"/>
            <w:vAlign w:val="center"/>
          </w:tcPr>
          <w:p w14:paraId="58090A2A">
            <w:pPr>
              <w:keepNext w:val="0"/>
              <w:keepLines w:val="0"/>
              <w:pageBreakBefore w:val="0"/>
              <w:kinsoku/>
              <w:wordWrap/>
              <w:overflowPunct/>
              <w:topLinePunct w:val="0"/>
              <w:autoSpaceDE/>
              <w:autoSpaceDN/>
              <w:bidi w:val="0"/>
              <w:adjustRightInd/>
              <w:snapToGrid/>
              <w:spacing w:line="240" w:lineRule="auto"/>
              <w:ind w:firstLine="420" w:firstLineChars="200"/>
              <w:jc w:val="left"/>
              <w:textAlignment w:val="auto"/>
              <w:rPr>
                <w:rFonts w:ascii="宋体" w:hAnsi="宋体" w:cs="宋体"/>
                <w:szCs w:val="21"/>
                <w:highlight w:val="none"/>
              </w:rPr>
            </w:pPr>
          </w:p>
        </w:tc>
      </w:tr>
      <w:tr w14:paraId="0B0CE7AD">
        <w:tblPrEx>
          <w:tblCellMar>
            <w:top w:w="0" w:type="dxa"/>
            <w:left w:w="108" w:type="dxa"/>
            <w:bottom w:w="0" w:type="dxa"/>
            <w:right w:w="108" w:type="dxa"/>
          </w:tblCellMar>
        </w:tblPrEx>
        <w:trPr>
          <w:trHeight w:val="417" w:hRule="atLeast"/>
          <w:jc w:val="center"/>
        </w:trPr>
        <w:tc>
          <w:tcPr>
            <w:tcW w:w="1108" w:type="dxa"/>
            <w:vMerge w:val="continue"/>
            <w:tcBorders>
              <w:left w:val="single" w:color="auto" w:sz="4" w:space="0"/>
              <w:right w:val="single" w:color="auto" w:sz="4" w:space="0"/>
            </w:tcBorders>
            <w:noWrap w:val="0"/>
            <w:vAlign w:val="center"/>
          </w:tcPr>
          <w:p w14:paraId="672DE5C0">
            <w:pPr>
              <w:keepNext w:val="0"/>
              <w:keepLines w:val="0"/>
              <w:pageBreakBefore w:val="0"/>
              <w:kinsoku/>
              <w:wordWrap/>
              <w:overflowPunct/>
              <w:topLinePunct w:val="0"/>
              <w:autoSpaceDE/>
              <w:autoSpaceDN/>
              <w:bidi w:val="0"/>
              <w:adjustRightInd/>
              <w:snapToGrid/>
              <w:spacing w:line="240" w:lineRule="auto"/>
              <w:ind w:firstLine="420" w:firstLineChars="200"/>
              <w:jc w:val="both"/>
              <w:textAlignment w:val="auto"/>
              <w:rPr>
                <w:rFonts w:ascii="宋体" w:hAnsi="宋体" w:cs="宋体"/>
                <w:szCs w:val="21"/>
                <w:highlight w:val="none"/>
              </w:rPr>
            </w:pPr>
          </w:p>
        </w:tc>
        <w:tc>
          <w:tcPr>
            <w:tcW w:w="2949" w:type="dxa"/>
            <w:vMerge w:val="continue"/>
            <w:tcBorders>
              <w:left w:val="nil"/>
              <w:right w:val="single" w:color="auto" w:sz="4" w:space="0"/>
            </w:tcBorders>
            <w:noWrap w:val="0"/>
            <w:vAlign w:val="center"/>
          </w:tcPr>
          <w:p w14:paraId="5CE2F9C5">
            <w:pPr>
              <w:keepNext w:val="0"/>
              <w:keepLines w:val="0"/>
              <w:pageBreakBefore w:val="0"/>
              <w:kinsoku/>
              <w:wordWrap/>
              <w:overflowPunct/>
              <w:topLinePunct w:val="0"/>
              <w:autoSpaceDE/>
              <w:autoSpaceDN/>
              <w:bidi w:val="0"/>
              <w:adjustRightInd/>
              <w:snapToGrid/>
              <w:spacing w:line="240" w:lineRule="auto"/>
              <w:ind w:firstLine="420" w:firstLineChars="200"/>
              <w:jc w:val="left"/>
              <w:textAlignment w:val="auto"/>
              <w:rPr>
                <w:rFonts w:ascii="宋体" w:hAnsi="宋体" w:cs="宋体"/>
                <w:szCs w:val="21"/>
                <w:highlight w:val="none"/>
              </w:rPr>
            </w:pPr>
          </w:p>
        </w:tc>
        <w:tc>
          <w:tcPr>
            <w:tcW w:w="3084" w:type="dxa"/>
            <w:tcBorders>
              <w:top w:val="single" w:color="auto" w:sz="4" w:space="0"/>
              <w:left w:val="nil"/>
              <w:right w:val="single" w:color="auto" w:sz="4" w:space="0"/>
            </w:tcBorders>
            <w:noWrap w:val="0"/>
            <w:vAlign w:val="center"/>
          </w:tcPr>
          <w:p w14:paraId="2D51AAD6">
            <w:pPr>
              <w:keepNext w:val="0"/>
              <w:keepLines w:val="0"/>
              <w:pageBreakBefore w:val="0"/>
              <w:kinsoku/>
              <w:wordWrap/>
              <w:overflowPunct/>
              <w:topLinePunct w:val="0"/>
              <w:autoSpaceDE/>
              <w:autoSpaceDN/>
              <w:bidi w:val="0"/>
              <w:adjustRightInd/>
              <w:snapToGrid/>
              <w:spacing w:line="240" w:lineRule="auto"/>
              <w:jc w:val="left"/>
              <w:textAlignment w:val="auto"/>
              <w:rPr>
                <w:rFonts w:ascii="宋体" w:hAnsi="宋体" w:cs="宋体"/>
                <w:szCs w:val="21"/>
                <w:highlight w:val="none"/>
              </w:rPr>
            </w:pPr>
            <w:r>
              <w:rPr>
                <w:rFonts w:hint="eastAsia" w:ascii="宋体" w:hAnsi="宋体" w:cs="宋体"/>
                <w:szCs w:val="21"/>
                <w:highlight w:val="none"/>
              </w:rPr>
              <w:t>（2）草坪未及时进行病虫害防治，发现一次扣3分。</w:t>
            </w:r>
          </w:p>
        </w:tc>
        <w:tc>
          <w:tcPr>
            <w:tcW w:w="725" w:type="dxa"/>
            <w:tcBorders>
              <w:top w:val="single" w:color="auto" w:sz="4" w:space="0"/>
              <w:left w:val="nil"/>
              <w:right w:val="single" w:color="auto" w:sz="4" w:space="0"/>
            </w:tcBorders>
            <w:noWrap w:val="0"/>
            <w:vAlign w:val="center"/>
          </w:tcPr>
          <w:p w14:paraId="430C93FF">
            <w:pPr>
              <w:keepNext w:val="0"/>
              <w:keepLines w:val="0"/>
              <w:pageBreakBefore w:val="0"/>
              <w:kinsoku/>
              <w:wordWrap/>
              <w:overflowPunct/>
              <w:topLinePunct w:val="0"/>
              <w:autoSpaceDE/>
              <w:autoSpaceDN/>
              <w:bidi w:val="0"/>
              <w:adjustRightInd/>
              <w:snapToGrid/>
              <w:spacing w:line="240" w:lineRule="auto"/>
              <w:ind w:firstLine="420" w:firstLineChars="200"/>
              <w:jc w:val="left"/>
              <w:textAlignment w:val="auto"/>
              <w:rPr>
                <w:rFonts w:ascii="宋体" w:hAnsi="宋体" w:cs="宋体"/>
                <w:szCs w:val="21"/>
                <w:highlight w:val="none"/>
              </w:rPr>
            </w:pPr>
          </w:p>
        </w:tc>
        <w:tc>
          <w:tcPr>
            <w:tcW w:w="2034" w:type="dxa"/>
            <w:tcBorders>
              <w:top w:val="single" w:color="auto" w:sz="4" w:space="0"/>
              <w:left w:val="nil"/>
              <w:right w:val="single" w:color="auto" w:sz="4" w:space="0"/>
            </w:tcBorders>
            <w:noWrap w:val="0"/>
            <w:vAlign w:val="center"/>
          </w:tcPr>
          <w:p w14:paraId="4F4FE2BA">
            <w:pPr>
              <w:keepNext w:val="0"/>
              <w:keepLines w:val="0"/>
              <w:pageBreakBefore w:val="0"/>
              <w:kinsoku/>
              <w:wordWrap/>
              <w:overflowPunct/>
              <w:topLinePunct w:val="0"/>
              <w:autoSpaceDE/>
              <w:autoSpaceDN/>
              <w:bidi w:val="0"/>
              <w:adjustRightInd/>
              <w:snapToGrid/>
              <w:spacing w:line="240" w:lineRule="auto"/>
              <w:ind w:firstLine="420" w:firstLineChars="200"/>
              <w:jc w:val="left"/>
              <w:textAlignment w:val="auto"/>
              <w:rPr>
                <w:rFonts w:ascii="宋体" w:hAnsi="宋体" w:cs="宋体"/>
                <w:szCs w:val="21"/>
                <w:highlight w:val="none"/>
              </w:rPr>
            </w:pPr>
          </w:p>
        </w:tc>
      </w:tr>
      <w:tr w14:paraId="178B2CF2">
        <w:tblPrEx>
          <w:tblCellMar>
            <w:top w:w="0" w:type="dxa"/>
            <w:left w:w="108" w:type="dxa"/>
            <w:bottom w:w="0" w:type="dxa"/>
            <w:right w:w="108" w:type="dxa"/>
          </w:tblCellMar>
        </w:tblPrEx>
        <w:trPr>
          <w:trHeight w:val="428" w:hRule="atLeast"/>
          <w:jc w:val="center"/>
        </w:trPr>
        <w:tc>
          <w:tcPr>
            <w:tcW w:w="1108" w:type="dxa"/>
            <w:vMerge w:val="continue"/>
            <w:tcBorders>
              <w:left w:val="single" w:color="auto" w:sz="4" w:space="0"/>
              <w:bottom w:val="single" w:color="auto" w:sz="4" w:space="0"/>
              <w:right w:val="single" w:color="auto" w:sz="4" w:space="0"/>
            </w:tcBorders>
            <w:noWrap w:val="0"/>
            <w:vAlign w:val="center"/>
          </w:tcPr>
          <w:p w14:paraId="6038F5CA">
            <w:pPr>
              <w:keepNext w:val="0"/>
              <w:keepLines w:val="0"/>
              <w:pageBreakBefore w:val="0"/>
              <w:kinsoku/>
              <w:wordWrap/>
              <w:overflowPunct/>
              <w:topLinePunct w:val="0"/>
              <w:autoSpaceDE/>
              <w:autoSpaceDN/>
              <w:bidi w:val="0"/>
              <w:adjustRightInd/>
              <w:snapToGrid/>
              <w:spacing w:line="240" w:lineRule="auto"/>
              <w:ind w:firstLine="420" w:firstLineChars="200"/>
              <w:jc w:val="both"/>
              <w:textAlignment w:val="auto"/>
              <w:rPr>
                <w:rFonts w:ascii="宋体" w:hAnsi="宋体" w:cs="宋体"/>
                <w:szCs w:val="21"/>
                <w:highlight w:val="none"/>
              </w:rPr>
            </w:pPr>
          </w:p>
        </w:tc>
        <w:tc>
          <w:tcPr>
            <w:tcW w:w="2949" w:type="dxa"/>
            <w:vMerge w:val="continue"/>
            <w:tcBorders>
              <w:left w:val="nil"/>
              <w:bottom w:val="single" w:color="auto" w:sz="4" w:space="0"/>
              <w:right w:val="single" w:color="auto" w:sz="4" w:space="0"/>
            </w:tcBorders>
            <w:noWrap w:val="0"/>
            <w:vAlign w:val="center"/>
          </w:tcPr>
          <w:p w14:paraId="12B7BAFB">
            <w:pPr>
              <w:keepNext w:val="0"/>
              <w:keepLines w:val="0"/>
              <w:pageBreakBefore w:val="0"/>
              <w:kinsoku/>
              <w:wordWrap/>
              <w:overflowPunct/>
              <w:topLinePunct w:val="0"/>
              <w:autoSpaceDE/>
              <w:autoSpaceDN/>
              <w:bidi w:val="0"/>
              <w:adjustRightInd/>
              <w:snapToGrid/>
              <w:spacing w:line="240" w:lineRule="auto"/>
              <w:ind w:firstLine="420" w:firstLineChars="200"/>
              <w:jc w:val="left"/>
              <w:textAlignment w:val="auto"/>
              <w:rPr>
                <w:rFonts w:ascii="宋体" w:hAnsi="宋体" w:cs="宋体"/>
                <w:szCs w:val="21"/>
                <w:highlight w:val="none"/>
              </w:rPr>
            </w:pPr>
          </w:p>
        </w:tc>
        <w:tc>
          <w:tcPr>
            <w:tcW w:w="3084" w:type="dxa"/>
            <w:tcBorders>
              <w:top w:val="single" w:color="auto" w:sz="4" w:space="0"/>
              <w:left w:val="nil"/>
              <w:bottom w:val="single" w:color="auto" w:sz="4" w:space="0"/>
              <w:right w:val="single" w:color="auto" w:sz="4" w:space="0"/>
            </w:tcBorders>
            <w:noWrap w:val="0"/>
            <w:vAlign w:val="center"/>
          </w:tcPr>
          <w:p w14:paraId="68403205">
            <w:pPr>
              <w:keepNext w:val="0"/>
              <w:keepLines w:val="0"/>
              <w:pageBreakBefore w:val="0"/>
              <w:kinsoku/>
              <w:wordWrap/>
              <w:overflowPunct/>
              <w:topLinePunct w:val="0"/>
              <w:autoSpaceDE/>
              <w:autoSpaceDN/>
              <w:bidi w:val="0"/>
              <w:adjustRightInd/>
              <w:snapToGrid/>
              <w:spacing w:line="240" w:lineRule="auto"/>
              <w:jc w:val="left"/>
              <w:textAlignment w:val="auto"/>
              <w:rPr>
                <w:rFonts w:ascii="宋体" w:hAnsi="宋体" w:cs="宋体"/>
                <w:szCs w:val="21"/>
                <w:highlight w:val="none"/>
              </w:rPr>
            </w:pPr>
            <w:r>
              <w:rPr>
                <w:rFonts w:hint="eastAsia" w:ascii="宋体" w:hAnsi="宋体" w:cs="宋体"/>
                <w:szCs w:val="21"/>
                <w:highlight w:val="none"/>
              </w:rPr>
              <w:t>（3）药液配比不正确，造成树木伤害，每株扣0.5分。</w:t>
            </w:r>
          </w:p>
        </w:tc>
        <w:tc>
          <w:tcPr>
            <w:tcW w:w="725" w:type="dxa"/>
            <w:tcBorders>
              <w:top w:val="single" w:color="auto" w:sz="4" w:space="0"/>
              <w:left w:val="nil"/>
              <w:bottom w:val="single" w:color="auto" w:sz="4" w:space="0"/>
              <w:right w:val="single" w:color="auto" w:sz="4" w:space="0"/>
            </w:tcBorders>
            <w:noWrap w:val="0"/>
            <w:vAlign w:val="center"/>
          </w:tcPr>
          <w:p w14:paraId="55AF57AB">
            <w:pPr>
              <w:keepNext w:val="0"/>
              <w:keepLines w:val="0"/>
              <w:pageBreakBefore w:val="0"/>
              <w:kinsoku/>
              <w:wordWrap/>
              <w:overflowPunct/>
              <w:topLinePunct w:val="0"/>
              <w:autoSpaceDE/>
              <w:autoSpaceDN/>
              <w:bidi w:val="0"/>
              <w:adjustRightInd/>
              <w:snapToGrid/>
              <w:spacing w:line="240" w:lineRule="auto"/>
              <w:ind w:firstLine="420" w:firstLineChars="200"/>
              <w:jc w:val="left"/>
              <w:textAlignment w:val="auto"/>
              <w:rPr>
                <w:rFonts w:ascii="宋体" w:hAnsi="宋体" w:cs="宋体"/>
                <w:szCs w:val="21"/>
                <w:highlight w:val="none"/>
              </w:rPr>
            </w:pPr>
          </w:p>
        </w:tc>
        <w:tc>
          <w:tcPr>
            <w:tcW w:w="2034" w:type="dxa"/>
            <w:tcBorders>
              <w:top w:val="single" w:color="auto" w:sz="4" w:space="0"/>
              <w:left w:val="nil"/>
              <w:bottom w:val="single" w:color="auto" w:sz="4" w:space="0"/>
              <w:right w:val="single" w:color="auto" w:sz="4" w:space="0"/>
            </w:tcBorders>
            <w:noWrap w:val="0"/>
            <w:vAlign w:val="center"/>
          </w:tcPr>
          <w:p w14:paraId="7BF65F59">
            <w:pPr>
              <w:keepNext w:val="0"/>
              <w:keepLines w:val="0"/>
              <w:pageBreakBefore w:val="0"/>
              <w:kinsoku/>
              <w:wordWrap/>
              <w:overflowPunct/>
              <w:topLinePunct w:val="0"/>
              <w:autoSpaceDE/>
              <w:autoSpaceDN/>
              <w:bidi w:val="0"/>
              <w:adjustRightInd/>
              <w:snapToGrid/>
              <w:spacing w:line="240" w:lineRule="auto"/>
              <w:ind w:firstLine="420" w:firstLineChars="200"/>
              <w:jc w:val="left"/>
              <w:textAlignment w:val="auto"/>
              <w:rPr>
                <w:rFonts w:ascii="宋体" w:hAnsi="宋体" w:cs="宋体"/>
                <w:szCs w:val="21"/>
                <w:highlight w:val="none"/>
              </w:rPr>
            </w:pPr>
          </w:p>
        </w:tc>
      </w:tr>
      <w:tr w14:paraId="66FC499F">
        <w:tblPrEx>
          <w:tblCellMar>
            <w:top w:w="0" w:type="dxa"/>
            <w:left w:w="108" w:type="dxa"/>
            <w:bottom w:w="0" w:type="dxa"/>
            <w:right w:w="108" w:type="dxa"/>
          </w:tblCellMar>
        </w:tblPrEx>
        <w:trPr>
          <w:trHeight w:val="372" w:hRule="atLeast"/>
          <w:jc w:val="center"/>
        </w:trPr>
        <w:tc>
          <w:tcPr>
            <w:tcW w:w="1108" w:type="dxa"/>
            <w:vMerge w:val="restart"/>
            <w:tcBorders>
              <w:top w:val="single" w:color="auto" w:sz="4" w:space="0"/>
              <w:left w:val="single" w:color="auto" w:sz="4" w:space="0"/>
              <w:right w:val="single" w:color="auto" w:sz="4" w:space="0"/>
            </w:tcBorders>
            <w:noWrap w:val="0"/>
            <w:vAlign w:val="center"/>
          </w:tcPr>
          <w:p w14:paraId="52EDD0DA">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cs="宋体"/>
                <w:szCs w:val="21"/>
                <w:highlight w:val="none"/>
              </w:rPr>
            </w:pPr>
            <w:r>
              <w:rPr>
                <w:rFonts w:hint="eastAsia" w:ascii="宋体" w:hAnsi="宋体" w:cs="宋体"/>
                <w:szCs w:val="21"/>
                <w:highlight w:val="none"/>
              </w:rPr>
              <w:t>除草及树池维护</w:t>
            </w:r>
          </w:p>
          <w:p w14:paraId="0E4AB854">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cs="宋体"/>
                <w:szCs w:val="21"/>
                <w:highlight w:val="none"/>
              </w:rPr>
            </w:pPr>
            <w:r>
              <w:rPr>
                <w:rFonts w:hint="eastAsia" w:ascii="宋体" w:hAnsi="宋体" w:cs="宋体"/>
                <w:szCs w:val="21"/>
                <w:highlight w:val="none"/>
              </w:rPr>
              <w:t>（8分）</w:t>
            </w:r>
          </w:p>
        </w:tc>
        <w:tc>
          <w:tcPr>
            <w:tcW w:w="2949" w:type="dxa"/>
            <w:vMerge w:val="restart"/>
            <w:tcBorders>
              <w:top w:val="single" w:color="auto" w:sz="4" w:space="0"/>
              <w:left w:val="nil"/>
              <w:right w:val="single" w:color="auto" w:sz="4" w:space="0"/>
            </w:tcBorders>
            <w:noWrap w:val="0"/>
            <w:vAlign w:val="center"/>
          </w:tcPr>
          <w:p w14:paraId="63E261AE">
            <w:pPr>
              <w:keepNext w:val="0"/>
              <w:keepLines w:val="0"/>
              <w:pageBreakBefore w:val="0"/>
              <w:kinsoku/>
              <w:wordWrap/>
              <w:overflowPunct/>
              <w:topLinePunct w:val="0"/>
              <w:autoSpaceDE/>
              <w:autoSpaceDN/>
              <w:bidi w:val="0"/>
              <w:adjustRightInd/>
              <w:snapToGrid/>
              <w:spacing w:line="240" w:lineRule="auto"/>
              <w:jc w:val="left"/>
              <w:textAlignment w:val="auto"/>
              <w:rPr>
                <w:rFonts w:ascii="宋体" w:hAnsi="宋体" w:cs="宋体"/>
                <w:szCs w:val="21"/>
                <w:highlight w:val="none"/>
              </w:rPr>
            </w:pPr>
            <w:r>
              <w:rPr>
                <w:rFonts w:hint="eastAsia" w:ascii="宋体" w:hAnsi="宋体" w:cs="宋体"/>
                <w:szCs w:val="21"/>
                <w:highlight w:val="none"/>
              </w:rPr>
              <w:t>1、树穴内无杂草；</w:t>
            </w:r>
          </w:p>
          <w:p w14:paraId="745D5743">
            <w:pPr>
              <w:keepNext w:val="0"/>
              <w:keepLines w:val="0"/>
              <w:pageBreakBefore w:val="0"/>
              <w:kinsoku/>
              <w:wordWrap/>
              <w:overflowPunct/>
              <w:topLinePunct w:val="0"/>
              <w:autoSpaceDE/>
              <w:autoSpaceDN/>
              <w:bidi w:val="0"/>
              <w:adjustRightInd/>
              <w:snapToGrid/>
              <w:spacing w:line="240" w:lineRule="auto"/>
              <w:jc w:val="left"/>
              <w:textAlignment w:val="auto"/>
              <w:rPr>
                <w:rFonts w:ascii="宋体" w:hAnsi="宋体" w:cs="宋体"/>
                <w:szCs w:val="21"/>
                <w:highlight w:val="none"/>
              </w:rPr>
            </w:pPr>
            <w:r>
              <w:rPr>
                <w:rFonts w:hint="eastAsia" w:ascii="宋体" w:hAnsi="宋体" w:cs="宋体"/>
                <w:szCs w:val="21"/>
                <w:highlight w:val="none"/>
              </w:rPr>
              <w:t>2、及时清理绿地内杂草；</w:t>
            </w:r>
          </w:p>
          <w:p w14:paraId="2B06D4C4">
            <w:pPr>
              <w:keepNext w:val="0"/>
              <w:keepLines w:val="0"/>
              <w:pageBreakBefore w:val="0"/>
              <w:kinsoku/>
              <w:wordWrap/>
              <w:overflowPunct/>
              <w:topLinePunct w:val="0"/>
              <w:autoSpaceDE/>
              <w:autoSpaceDN/>
              <w:bidi w:val="0"/>
              <w:adjustRightInd/>
              <w:snapToGrid/>
              <w:spacing w:line="240" w:lineRule="auto"/>
              <w:jc w:val="left"/>
              <w:textAlignment w:val="auto"/>
              <w:rPr>
                <w:rFonts w:ascii="宋体" w:hAnsi="宋体" w:cs="宋体"/>
                <w:szCs w:val="21"/>
                <w:highlight w:val="none"/>
              </w:rPr>
            </w:pPr>
            <w:r>
              <w:rPr>
                <w:rFonts w:hint="eastAsia" w:ascii="宋体" w:hAnsi="宋体" w:cs="宋体"/>
                <w:szCs w:val="21"/>
                <w:highlight w:val="none"/>
              </w:rPr>
              <w:t>3、攀缘植物的残花枯藤需及时清理干净；</w:t>
            </w:r>
          </w:p>
          <w:p w14:paraId="5BC6A67E">
            <w:pPr>
              <w:keepNext w:val="0"/>
              <w:keepLines w:val="0"/>
              <w:pageBreakBefore w:val="0"/>
              <w:kinsoku/>
              <w:wordWrap/>
              <w:overflowPunct/>
              <w:topLinePunct w:val="0"/>
              <w:autoSpaceDE/>
              <w:autoSpaceDN/>
              <w:bidi w:val="0"/>
              <w:adjustRightInd/>
              <w:snapToGrid/>
              <w:spacing w:line="240" w:lineRule="auto"/>
              <w:jc w:val="left"/>
              <w:textAlignment w:val="auto"/>
              <w:rPr>
                <w:rFonts w:ascii="宋体" w:hAnsi="宋体" w:cs="宋体"/>
                <w:szCs w:val="21"/>
                <w:highlight w:val="none"/>
              </w:rPr>
            </w:pPr>
            <w:r>
              <w:rPr>
                <w:rFonts w:hint="eastAsia" w:ascii="宋体" w:hAnsi="宋体" w:cs="宋体"/>
                <w:szCs w:val="21"/>
                <w:highlight w:val="none"/>
              </w:rPr>
              <w:t>4、加强树池维护，确保树池完好。</w:t>
            </w:r>
          </w:p>
        </w:tc>
        <w:tc>
          <w:tcPr>
            <w:tcW w:w="3084" w:type="dxa"/>
            <w:tcBorders>
              <w:top w:val="single" w:color="auto" w:sz="4" w:space="0"/>
              <w:left w:val="nil"/>
              <w:bottom w:val="single" w:color="auto" w:sz="4" w:space="0"/>
              <w:right w:val="single" w:color="auto" w:sz="4" w:space="0"/>
            </w:tcBorders>
            <w:noWrap w:val="0"/>
            <w:vAlign w:val="center"/>
          </w:tcPr>
          <w:p w14:paraId="2B571A45">
            <w:pPr>
              <w:keepNext w:val="0"/>
              <w:keepLines w:val="0"/>
              <w:pageBreakBefore w:val="0"/>
              <w:kinsoku/>
              <w:wordWrap/>
              <w:overflowPunct/>
              <w:topLinePunct w:val="0"/>
              <w:autoSpaceDE/>
              <w:autoSpaceDN/>
              <w:bidi w:val="0"/>
              <w:adjustRightInd/>
              <w:snapToGrid/>
              <w:spacing w:line="240" w:lineRule="auto"/>
              <w:jc w:val="left"/>
              <w:textAlignment w:val="auto"/>
              <w:rPr>
                <w:rFonts w:ascii="宋体" w:hAnsi="宋体" w:cs="宋体"/>
                <w:szCs w:val="21"/>
                <w:highlight w:val="none"/>
              </w:rPr>
            </w:pPr>
            <w:r>
              <w:rPr>
                <w:rFonts w:hint="eastAsia" w:ascii="宋体" w:hAnsi="宋体" w:cs="宋体"/>
                <w:szCs w:val="21"/>
                <w:highlight w:val="none"/>
              </w:rPr>
              <w:t>（1）树穴杂草率高于5%，一株扣0.25分。</w:t>
            </w:r>
          </w:p>
        </w:tc>
        <w:tc>
          <w:tcPr>
            <w:tcW w:w="725" w:type="dxa"/>
            <w:tcBorders>
              <w:top w:val="single" w:color="auto" w:sz="4" w:space="0"/>
              <w:left w:val="nil"/>
              <w:bottom w:val="single" w:color="auto" w:sz="4" w:space="0"/>
              <w:right w:val="single" w:color="auto" w:sz="4" w:space="0"/>
            </w:tcBorders>
            <w:noWrap w:val="0"/>
            <w:vAlign w:val="center"/>
          </w:tcPr>
          <w:p w14:paraId="43392B62">
            <w:pPr>
              <w:keepNext w:val="0"/>
              <w:keepLines w:val="0"/>
              <w:pageBreakBefore w:val="0"/>
              <w:kinsoku/>
              <w:wordWrap/>
              <w:overflowPunct/>
              <w:topLinePunct w:val="0"/>
              <w:autoSpaceDE/>
              <w:autoSpaceDN/>
              <w:bidi w:val="0"/>
              <w:adjustRightInd/>
              <w:snapToGrid/>
              <w:spacing w:line="240" w:lineRule="auto"/>
              <w:ind w:firstLine="420" w:firstLineChars="200"/>
              <w:jc w:val="left"/>
              <w:textAlignment w:val="auto"/>
              <w:rPr>
                <w:rFonts w:ascii="宋体" w:hAnsi="宋体" w:cs="宋体"/>
                <w:szCs w:val="21"/>
                <w:highlight w:val="none"/>
              </w:rPr>
            </w:pPr>
          </w:p>
        </w:tc>
        <w:tc>
          <w:tcPr>
            <w:tcW w:w="2034" w:type="dxa"/>
            <w:tcBorders>
              <w:top w:val="single" w:color="auto" w:sz="4" w:space="0"/>
              <w:left w:val="nil"/>
              <w:bottom w:val="single" w:color="auto" w:sz="4" w:space="0"/>
              <w:right w:val="single" w:color="auto" w:sz="4" w:space="0"/>
            </w:tcBorders>
            <w:noWrap w:val="0"/>
            <w:vAlign w:val="center"/>
          </w:tcPr>
          <w:p w14:paraId="7B2E34B9">
            <w:pPr>
              <w:keepNext w:val="0"/>
              <w:keepLines w:val="0"/>
              <w:pageBreakBefore w:val="0"/>
              <w:kinsoku/>
              <w:wordWrap/>
              <w:overflowPunct/>
              <w:topLinePunct w:val="0"/>
              <w:autoSpaceDE/>
              <w:autoSpaceDN/>
              <w:bidi w:val="0"/>
              <w:adjustRightInd/>
              <w:snapToGrid/>
              <w:spacing w:line="240" w:lineRule="auto"/>
              <w:ind w:firstLine="420" w:firstLineChars="200"/>
              <w:jc w:val="left"/>
              <w:textAlignment w:val="auto"/>
              <w:rPr>
                <w:rFonts w:ascii="宋体" w:hAnsi="宋体" w:cs="宋体"/>
                <w:szCs w:val="21"/>
                <w:highlight w:val="none"/>
              </w:rPr>
            </w:pPr>
          </w:p>
        </w:tc>
      </w:tr>
      <w:tr w14:paraId="14A6132F">
        <w:tblPrEx>
          <w:tblCellMar>
            <w:top w:w="0" w:type="dxa"/>
            <w:left w:w="108" w:type="dxa"/>
            <w:bottom w:w="0" w:type="dxa"/>
            <w:right w:w="108" w:type="dxa"/>
          </w:tblCellMar>
        </w:tblPrEx>
        <w:trPr>
          <w:trHeight w:val="453" w:hRule="atLeast"/>
          <w:jc w:val="center"/>
        </w:trPr>
        <w:tc>
          <w:tcPr>
            <w:tcW w:w="1108" w:type="dxa"/>
            <w:vMerge w:val="continue"/>
            <w:tcBorders>
              <w:top w:val="single" w:color="auto" w:sz="4" w:space="0"/>
              <w:left w:val="single" w:color="auto" w:sz="4" w:space="0"/>
              <w:right w:val="single" w:color="auto" w:sz="4" w:space="0"/>
            </w:tcBorders>
            <w:noWrap w:val="0"/>
            <w:vAlign w:val="center"/>
          </w:tcPr>
          <w:p w14:paraId="00CAD09C">
            <w:pPr>
              <w:keepNext w:val="0"/>
              <w:keepLines w:val="0"/>
              <w:pageBreakBefore w:val="0"/>
              <w:kinsoku/>
              <w:wordWrap/>
              <w:overflowPunct/>
              <w:topLinePunct w:val="0"/>
              <w:autoSpaceDE/>
              <w:autoSpaceDN/>
              <w:bidi w:val="0"/>
              <w:adjustRightInd/>
              <w:snapToGrid/>
              <w:spacing w:line="240" w:lineRule="auto"/>
              <w:ind w:firstLine="420" w:firstLineChars="200"/>
              <w:jc w:val="both"/>
              <w:textAlignment w:val="auto"/>
              <w:rPr>
                <w:rFonts w:ascii="宋体" w:hAnsi="宋体" w:cs="宋体"/>
                <w:szCs w:val="21"/>
                <w:highlight w:val="none"/>
              </w:rPr>
            </w:pPr>
          </w:p>
        </w:tc>
        <w:tc>
          <w:tcPr>
            <w:tcW w:w="2949" w:type="dxa"/>
            <w:vMerge w:val="continue"/>
            <w:tcBorders>
              <w:top w:val="single" w:color="auto" w:sz="4" w:space="0"/>
              <w:left w:val="nil"/>
              <w:right w:val="single" w:color="auto" w:sz="4" w:space="0"/>
            </w:tcBorders>
            <w:noWrap w:val="0"/>
            <w:vAlign w:val="center"/>
          </w:tcPr>
          <w:p w14:paraId="7A688A42">
            <w:pPr>
              <w:keepNext w:val="0"/>
              <w:keepLines w:val="0"/>
              <w:pageBreakBefore w:val="0"/>
              <w:kinsoku/>
              <w:wordWrap/>
              <w:overflowPunct/>
              <w:topLinePunct w:val="0"/>
              <w:autoSpaceDE/>
              <w:autoSpaceDN/>
              <w:bidi w:val="0"/>
              <w:adjustRightInd/>
              <w:snapToGrid/>
              <w:spacing w:line="240" w:lineRule="auto"/>
              <w:ind w:firstLine="420" w:firstLineChars="200"/>
              <w:jc w:val="left"/>
              <w:textAlignment w:val="auto"/>
              <w:rPr>
                <w:rFonts w:ascii="宋体" w:hAnsi="宋体" w:cs="宋体"/>
                <w:szCs w:val="21"/>
                <w:highlight w:val="none"/>
              </w:rPr>
            </w:pPr>
          </w:p>
        </w:tc>
        <w:tc>
          <w:tcPr>
            <w:tcW w:w="3084" w:type="dxa"/>
            <w:tcBorders>
              <w:top w:val="single" w:color="auto" w:sz="4" w:space="0"/>
              <w:left w:val="nil"/>
              <w:bottom w:val="single" w:color="auto" w:sz="4" w:space="0"/>
              <w:right w:val="single" w:color="auto" w:sz="4" w:space="0"/>
            </w:tcBorders>
            <w:noWrap w:val="0"/>
            <w:vAlign w:val="center"/>
          </w:tcPr>
          <w:p w14:paraId="12FCA980">
            <w:pPr>
              <w:keepNext w:val="0"/>
              <w:keepLines w:val="0"/>
              <w:pageBreakBefore w:val="0"/>
              <w:kinsoku/>
              <w:wordWrap/>
              <w:overflowPunct/>
              <w:topLinePunct w:val="0"/>
              <w:autoSpaceDE/>
              <w:autoSpaceDN/>
              <w:bidi w:val="0"/>
              <w:adjustRightInd/>
              <w:snapToGrid/>
              <w:spacing w:line="240" w:lineRule="auto"/>
              <w:jc w:val="left"/>
              <w:textAlignment w:val="auto"/>
              <w:rPr>
                <w:rFonts w:ascii="宋体" w:hAnsi="宋体" w:cs="宋体"/>
                <w:szCs w:val="21"/>
                <w:highlight w:val="none"/>
              </w:rPr>
            </w:pPr>
            <w:r>
              <w:rPr>
                <w:rFonts w:hint="eastAsia" w:ascii="宋体" w:hAnsi="宋体" w:cs="宋体"/>
                <w:szCs w:val="21"/>
                <w:highlight w:val="none"/>
              </w:rPr>
              <w:t>（2）未及时清理绿地杂草，每发现一处扣1分。</w:t>
            </w:r>
          </w:p>
        </w:tc>
        <w:tc>
          <w:tcPr>
            <w:tcW w:w="725" w:type="dxa"/>
            <w:tcBorders>
              <w:top w:val="single" w:color="auto" w:sz="4" w:space="0"/>
              <w:left w:val="nil"/>
              <w:bottom w:val="single" w:color="auto" w:sz="4" w:space="0"/>
              <w:right w:val="single" w:color="auto" w:sz="4" w:space="0"/>
            </w:tcBorders>
            <w:noWrap w:val="0"/>
            <w:vAlign w:val="center"/>
          </w:tcPr>
          <w:p w14:paraId="4DDFC11D">
            <w:pPr>
              <w:keepNext w:val="0"/>
              <w:keepLines w:val="0"/>
              <w:pageBreakBefore w:val="0"/>
              <w:kinsoku/>
              <w:wordWrap/>
              <w:overflowPunct/>
              <w:topLinePunct w:val="0"/>
              <w:autoSpaceDE/>
              <w:autoSpaceDN/>
              <w:bidi w:val="0"/>
              <w:adjustRightInd/>
              <w:snapToGrid/>
              <w:spacing w:line="240" w:lineRule="auto"/>
              <w:ind w:firstLine="420" w:firstLineChars="200"/>
              <w:jc w:val="left"/>
              <w:textAlignment w:val="auto"/>
              <w:rPr>
                <w:rFonts w:ascii="宋体" w:hAnsi="宋体" w:cs="宋体"/>
                <w:szCs w:val="21"/>
                <w:highlight w:val="none"/>
              </w:rPr>
            </w:pPr>
          </w:p>
        </w:tc>
        <w:tc>
          <w:tcPr>
            <w:tcW w:w="2034" w:type="dxa"/>
            <w:tcBorders>
              <w:top w:val="single" w:color="auto" w:sz="4" w:space="0"/>
              <w:left w:val="nil"/>
              <w:bottom w:val="single" w:color="auto" w:sz="4" w:space="0"/>
              <w:right w:val="single" w:color="auto" w:sz="4" w:space="0"/>
            </w:tcBorders>
            <w:noWrap w:val="0"/>
            <w:vAlign w:val="center"/>
          </w:tcPr>
          <w:p w14:paraId="5231DC38">
            <w:pPr>
              <w:keepNext w:val="0"/>
              <w:keepLines w:val="0"/>
              <w:pageBreakBefore w:val="0"/>
              <w:kinsoku/>
              <w:wordWrap/>
              <w:overflowPunct/>
              <w:topLinePunct w:val="0"/>
              <w:autoSpaceDE/>
              <w:autoSpaceDN/>
              <w:bidi w:val="0"/>
              <w:adjustRightInd/>
              <w:snapToGrid/>
              <w:spacing w:line="240" w:lineRule="auto"/>
              <w:ind w:firstLine="420" w:firstLineChars="200"/>
              <w:jc w:val="left"/>
              <w:textAlignment w:val="auto"/>
              <w:rPr>
                <w:rFonts w:ascii="宋体" w:hAnsi="宋体" w:cs="宋体"/>
                <w:szCs w:val="21"/>
                <w:highlight w:val="none"/>
              </w:rPr>
            </w:pPr>
          </w:p>
        </w:tc>
      </w:tr>
      <w:tr w14:paraId="62D41E77">
        <w:tblPrEx>
          <w:tblCellMar>
            <w:top w:w="0" w:type="dxa"/>
            <w:left w:w="108" w:type="dxa"/>
            <w:bottom w:w="0" w:type="dxa"/>
            <w:right w:w="108" w:type="dxa"/>
          </w:tblCellMar>
        </w:tblPrEx>
        <w:trPr>
          <w:trHeight w:val="614" w:hRule="atLeast"/>
          <w:jc w:val="center"/>
        </w:trPr>
        <w:tc>
          <w:tcPr>
            <w:tcW w:w="1108" w:type="dxa"/>
            <w:vMerge w:val="continue"/>
            <w:tcBorders>
              <w:top w:val="single" w:color="auto" w:sz="4" w:space="0"/>
              <w:left w:val="single" w:color="auto" w:sz="4" w:space="0"/>
              <w:right w:val="single" w:color="auto" w:sz="4" w:space="0"/>
            </w:tcBorders>
            <w:noWrap w:val="0"/>
            <w:vAlign w:val="center"/>
          </w:tcPr>
          <w:p w14:paraId="2CD7042A">
            <w:pPr>
              <w:keepNext w:val="0"/>
              <w:keepLines w:val="0"/>
              <w:pageBreakBefore w:val="0"/>
              <w:kinsoku/>
              <w:wordWrap/>
              <w:overflowPunct/>
              <w:topLinePunct w:val="0"/>
              <w:autoSpaceDE/>
              <w:autoSpaceDN/>
              <w:bidi w:val="0"/>
              <w:adjustRightInd/>
              <w:snapToGrid/>
              <w:spacing w:line="240" w:lineRule="auto"/>
              <w:ind w:firstLine="420" w:firstLineChars="200"/>
              <w:jc w:val="both"/>
              <w:textAlignment w:val="auto"/>
              <w:rPr>
                <w:rFonts w:ascii="宋体" w:hAnsi="宋体" w:cs="宋体"/>
                <w:szCs w:val="21"/>
                <w:highlight w:val="none"/>
              </w:rPr>
            </w:pPr>
          </w:p>
        </w:tc>
        <w:tc>
          <w:tcPr>
            <w:tcW w:w="2949" w:type="dxa"/>
            <w:vMerge w:val="continue"/>
            <w:tcBorders>
              <w:top w:val="single" w:color="auto" w:sz="4" w:space="0"/>
              <w:left w:val="nil"/>
              <w:right w:val="single" w:color="auto" w:sz="4" w:space="0"/>
            </w:tcBorders>
            <w:noWrap w:val="0"/>
            <w:vAlign w:val="center"/>
          </w:tcPr>
          <w:p w14:paraId="6918A0E9">
            <w:pPr>
              <w:keepNext w:val="0"/>
              <w:keepLines w:val="0"/>
              <w:pageBreakBefore w:val="0"/>
              <w:kinsoku/>
              <w:wordWrap/>
              <w:overflowPunct/>
              <w:topLinePunct w:val="0"/>
              <w:autoSpaceDE/>
              <w:autoSpaceDN/>
              <w:bidi w:val="0"/>
              <w:adjustRightInd/>
              <w:snapToGrid/>
              <w:spacing w:line="240" w:lineRule="auto"/>
              <w:ind w:firstLine="420" w:firstLineChars="200"/>
              <w:jc w:val="left"/>
              <w:textAlignment w:val="auto"/>
              <w:rPr>
                <w:rFonts w:ascii="宋体" w:hAnsi="宋体" w:cs="宋体"/>
                <w:szCs w:val="21"/>
                <w:highlight w:val="none"/>
              </w:rPr>
            </w:pPr>
          </w:p>
        </w:tc>
        <w:tc>
          <w:tcPr>
            <w:tcW w:w="3084" w:type="dxa"/>
            <w:tcBorders>
              <w:top w:val="single" w:color="auto" w:sz="4" w:space="0"/>
              <w:left w:val="nil"/>
              <w:bottom w:val="single" w:color="auto" w:sz="4" w:space="0"/>
              <w:right w:val="single" w:color="auto" w:sz="4" w:space="0"/>
            </w:tcBorders>
            <w:noWrap w:val="0"/>
            <w:vAlign w:val="center"/>
          </w:tcPr>
          <w:p w14:paraId="78D81247">
            <w:pPr>
              <w:keepNext w:val="0"/>
              <w:keepLines w:val="0"/>
              <w:pageBreakBefore w:val="0"/>
              <w:kinsoku/>
              <w:wordWrap/>
              <w:overflowPunct/>
              <w:topLinePunct w:val="0"/>
              <w:autoSpaceDE/>
              <w:autoSpaceDN/>
              <w:bidi w:val="0"/>
              <w:adjustRightInd/>
              <w:snapToGrid/>
              <w:spacing w:line="240" w:lineRule="auto"/>
              <w:jc w:val="left"/>
              <w:textAlignment w:val="auto"/>
              <w:rPr>
                <w:rFonts w:ascii="宋体" w:hAnsi="宋体" w:cs="宋体"/>
                <w:szCs w:val="21"/>
                <w:highlight w:val="none"/>
              </w:rPr>
            </w:pPr>
            <w:r>
              <w:rPr>
                <w:rFonts w:hint="eastAsia" w:ascii="宋体" w:hAnsi="宋体" w:cs="宋体"/>
                <w:szCs w:val="21"/>
                <w:highlight w:val="none"/>
              </w:rPr>
              <w:t>（3）残花枯藤未及时清理干净，每发现一处扣1分。</w:t>
            </w:r>
          </w:p>
        </w:tc>
        <w:tc>
          <w:tcPr>
            <w:tcW w:w="725" w:type="dxa"/>
            <w:tcBorders>
              <w:top w:val="single" w:color="auto" w:sz="4" w:space="0"/>
              <w:left w:val="nil"/>
              <w:bottom w:val="single" w:color="auto" w:sz="4" w:space="0"/>
              <w:right w:val="single" w:color="auto" w:sz="4" w:space="0"/>
            </w:tcBorders>
            <w:noWrap w:val="0"/>
            <w:vAlign w:val="center"/>
          </w:tcPr>
          <w:p w14:paraId="02A6BF87">
            <w:pPr>
              <w:keepNext w:val="0"/>
              <w:keepLines w:val="0"/>
              <w:pageBreakBefore w:val="0"/>
              <w:kinsoku/>
              <w:wordWrap/>
              <w:overflowPunct/>
              <w:topLinePunct w:val="0"/>
              <w:autoSpaceDE/>
              <w:autoSpaceDN/>
              <w:bidi w:val="0"/>
              <w:adjustRightInd/>
              <w:snapToGrid/>
              <w:spacing w:line="240" w:lineRule="auto"/>
              <w:ind w:firstLine="420" w:firstLineChars="200"/>
              <w:jc w:val="left"/>
              <w:textAlignment w:val="auto"/>
              <w:rPr>
                <w:rFonts w:ascii="宋体" w:hAnsi="宋体" w:cs="宋体"/>
                <w:szCs w:val="21"/>
                <w:highlight w:val="none"/>
              </w:rPr>
            </w:pPr>
          </w:p>
        </w:tc>
        <w:tc>
          <w:tcPr>
            <w:tcW w:w="2034" w:type="dxa"/>
            <w:tcBorders>
              <w:top w:val="single" w:color="auto" w:sz="4" w:space="0"/>
              <w:left w:val="nil"/>
              <w:bottom w:val="single" w:color="auto" w:sz="4" w:space="0"/>
              <w:right w:val="single" w:color="auto" w:sz="4" w:space="0"/>
            </w:tcBorders>
            <w:noWrap w:val="0"/>
            <w:vAlign w:val="center"/>
          </w:tcPr>
          <w:p w14:paraId="79BA5B55">
            <w:pPr>
              <w:keepNext w:val="0"/>
              <w:keepLines w:val="0"/>
              <w:pageBreakBefore w:val="0"/>
              <w:kinsoku/>
              <w:wordWrap/>
              <w:overflowPunct/>
              <w:topLinePunct w:val="0"/>
              <w:autoSpaceDE/>
              <w:autoSpaceDN/>
              <w:bidi w:val="0"/>
              <w:adjustRightInd/>
              <w:snapToGrid/>
              <w:spacing w:line="240" w:lineRule="auto"/>
              <w:ind w:firstLine="420" w:firstLineChars="200"/>
              <w:jc w:val="left"/>
              <w:textAlignment w:val="auto"/>
              <w:rPr>
                <w:rFonts w:ascii="宋体" w:hAnsi="宋体" w:cs="宋体"/>
                <w:szCs w:val="21"/>
                <w:highlight w:val="none"/>
              </w:rPr>
            </w:pPr>
          </w:p>
        </w:tc>
      </w:tr>
      <w:tr w14:paraId="2461B155">
        <w:tblPrEx>
          <w:tblCellMar>
            <w:top w:w="0" w:type="dxa"/>
            <w:left w:w="108" w:type="dxa"/>
            <w:bottom w:w="0" w:type="dxa"/>
            <w:right w:w="108" w:type="dxa"/>
          </w:tblCellMar>
        </w:tblPrEx>
        <w:trPr>
          <w:trHeight w:val="297" w:hRule="atLeast"/>
          <w:jc w:val="center"/>
        </w:trPr>
        <w:tc>
          <w:tcPr>
            <w:tcW w:w="1108" w:type="dxa"/>
            <w:vMerge w:val="continue"/>
            <w:tcBorders>
              <w:top w:val="single" w:color="auto" w:sz="4" w:space="0"/>
              <w:left w:val="single" w:color="auto" w:sz="4" w:space="0"/>
              <w:bottom w:val="single" w:color="auto" w:sz="4" w:space="0"/>
              <w:right w:val="single" w:color="auto" w:sz="4" w:space="0"/>
            </w:tcBorders>
            <w:noWrap w:val="0"/>
            <w:vAlign w:val="center"/>
          </w:tcPr>
          <w:p w14:paraId="430AF548">
            <w:pPr>
              <w:keepNext w:val="0"/>
              <w:keepLines w:val="0"/>
              <w:pageBreakBefore w:val="0"/>
              <w:kinsoku/>
              <w:wordWrap/>
              <w:overflowPunct/>
              <w:topLinePunct w:val="0"/>
              <w:autoSpaceDE/>
              <w:autoSpaceDN/>
              <w:bidi w:val="0"/>
              <w:adjustRightInd/>
              <w:snapToGrid/>
              <w:spacing w:line="240" w:lineRule="auto"/>
              <w:ind w:firstLine="420" w:firstLineChars="200"/>
              <w:jc w:val="both"/>
              <w:textAlignment w:val="auto"/>
              <w:rPr>
                <w:rFonts w:ascii="宋体" w:hAnsi="宋体" w:cs="宋体"/>
                <w:szCs w:val="21"/>
                <w:highlight w:val="none"/>
              </w:rPr>
            </w:pPr>
          </w:p>
        </w:tc>
        <w:tc>
          <w:tcPr>
            <w:tcW w:w="2949" w:type="dxa"/>
            <w:vMerge w:val="continue"/>
            <w:tcBorders>
              <w:top w:val="single" w:color="auto" w:sz="4" w:space="0"/>
              <w:left w:val="nil"/>
              <w:bottom w:val="single" w:color="auto" w:sz="4" w:space="0"/>
              <w:right w:val="single" w:color="auto" w:sz="4" w:space="0"/>
            </w:tcBorders>
            <w:noWrap w:val="0"/>
            <w:vAlign w:val="center"/>
          </w:tcPr>
          <w:p w14:paraId="151EE0D3">
            <w:pPr>
              <w:keepNext w:val="0"/>
              <w:keepLines w:val="0"/>
              <w:pageBreakBefore w:val="0"/>
              <w:kinsoku/>
              <w:wordWrap/>
              <w:overflowPunct/>
              <w:topLinePunct w:val="0"/>
              <w:autoSpaceDE/>
              <w:autoSpaceDN/>
              <w:bidi w:val="0"/>
              <w:adjustRightInd/>
              <w:snapToGrid/>
              <w:spacing w:line="240" w:lineRule="auto"/>
              <w:ind w:firstLine="420" w:firstLineChars="200"/>
              <w:jc w:val="left"/>
              <w:textAlignment w:val="auto"/>
              <w:rPr>
                <w:rFonts w:ascii="宋体" w:hAnsi="宋体" w:cs="宋体"/>
                <w:szCs w:val="21"/>
                <w:highlight w:val="none"/>
              </w:rPr>
            </w:pPr>
          </w:p>
        </w:tc>
        <w:tc>
          <w:tcPr>
            <w:tcW w:w="3084" w:type="dxa"/>
            <w:tcBorders>
              <w:top w:val="single" w:color="auto" w:sz="4" w:space="0"/>
              <w:left w:val="nil"/>
              <w:bottom w:val="single" w:color="auto" w:sz="4" w:space="0"/>
              <w:right w:val="single" w:color="auto" w:sz="4" w:space="0"/>
            </w:tcBorders>
            <w:noWrap w:val="0"/>
            <w:vAlign w:val="center"/>
          </w:tcPr>
          <w:p w14:paraId="13A3F923">
            <w:pPr>
              <w:keepNext w:val="0"/>
              <w:keepLines w:val="0"/>
              <w:pageBreakBefore w:val="0"/>
              <w:kinsoku/>
              <w:wordWrap/>
              <w:overflowPunct/>
              <w:topLinePunct w:val="0"/>
              <w:autoSpaceDE/>
              <w:autoSpaceDN/>
              <w:bidi w:val="0"/>
              <w:adjustRightInd/>
              <w:snapToGrid/>
              <w:spacing w:line="240" w:lineRule="auto"/>
              <w:jc w:val="left"/>
              <w:textAlignment w:val="auto"/>
              <w:rPr>
                <w:rFonts w:ascii="宋体" w:hAnsi="宋体" w:cs="宋体"/>
                <w:szCs w:val="21"/>
                <w:highlight w:val="none"/>
              </w:rPr>
            </w:pPr>
            <w:r>
              <w:rPr>
                <w:rFonts w:hint="eastAsia" w:ascii="宋体" w:hAnsi="宋体" w:cs="宋体"/>
                <w:szCs w:val="21"/>
                <w:highlight w:val="none"/>
              </w:rPr>
              <w:t>（4）树池损坏每个扣1分。</w:t>
            </w:r>
          </w:p>
        </w:tc>
        <w:tc>
          <w:tcPr>
            <w:tcW w:w="725" w:type="dxa"/>
            <w:tcBorders>
              <w:top w:val="single" w:color="auto" w:sz="4" w:space="0"/>
              <w:left w:val="nil"/>
              <w:bottom w:val="single" w:color="auto" w:sz="4" w:space="0"/>
              <w:right w:val="single" w:color="auto" w:sz="4" w:space="0"/>
            </w:tcBorders>
            <w:noWrap w:val="0"/>
            <w:vAlign w:val="center"/>
          </w:tcPr>
          <w:p w14:paraId="248A6042">
            <w:pPr>
              <w:keepNext w:val="0"/>
              <w:keepLines w:val="0"/>
              <w:pageBreakBefore w:val="0"/>
              <w:kinsoku/>
              <w:wordWrap/>
              <w:overflowPunct/>
              <w:topLinePunct w:val="0"/>
              <w:autoSpaceDE/>
              <w:autoSpaceDN/>
              <w:bidi w:val="0"/>
              <w:adjustRightInd/>
              <w:snapToGrid/>
              <w:spacing w:line="240" w:lineRule="auto"/>
              <w:ind w:firstLine="420" w:firstLineChars="200"/>
              <w:jc w:val="left"/>
              <w:textAlignment w:val="auto"/>
              <w:rPr>
                <w:rFonts w:ascii="宋体" w:hAnsi="宋体" w:cs="宋体"/>
                <w:szCs w:val="21"/>
                <w:highlight w:val="none"/>
              </w:rPr>
            </w:pPr>
          </w:p>
        </w:tc>
        <w:tc>
          <w:tcPr>
            <w:tcW w:w="2034" w:type="dxa"/>
            <w:tcBorders>
              <w:top w:val="single" w:color="auto" w:sz="4" w:space="0"/>
              <w:left w:val="nil"/>
              <w:bottom w:val="single" w:color="auto" w:sz="4" w:space="0"/>
              <w:right w:val="single" w:color="auto" w:sz="4" w:space="0"/>
            </w:tcBorders>
            <w:noWrap w:val="0"/>
            <w:vAlign w:val="center"/>
          </w:tcPr>
          <w:p w14:paraId="7AB958F7">
            <w:pPr>
              <w:keepNext w:val="0"/>
              <w:keepLines w:val="0"/>
              <w:pageBreakBefore w:val="0"/>
              <w:kinsoku/>
              <w:wordWrap/>
              <w:overflowPunct/>
              <w:topLinePunct w:val="0"/>
              <w:autoSpaceDE/>
              <w:autoSpaceDN/>
              <w:bidi w:val="0"/>
              <w:adjustRightInd/>
              <w:snapToGrid/>
              <w:spacing w:line="240" w:lineRule="auto"/>
              <w:ind w:firstLine="420" w:firstLineChars="200"/>
              <w:jc w:val="left"/>
              <w:textAlignment w:val="auto"/>
              <w:rPr>
                <w:rFonts w:ascii="宋体" w:hAnsi="宋体" w:cs="宋体"/>
                <w:szCs w:val="21"/>
                <w:highlight w:val="none"/>
              </w:rPr>
            </w:pPr>
          </w:p>
        </w:tc>
      </w:tr>
      <w:tr w14:paraId="290A09C0">
        <w:tblPrEx>
          <w:tblCellMar>
            <w:top w:w="0" w:type="dxa"/>
            <w:left w:w="108" w:type="dxa"/>
            <w:bottom w:w="0" w:type="dxa"/>
            <w:right w:w="108" w:type="dxa"/>
          </w:tblCellMar>
        </w:tblPrEx>
        <w:trPr>
          <w:trHeight w:val="458" w:hRule="atLeast"/>
          <w:jc w:val="center"/>
        </w:trPr>
        <w:tc>
          <w:tcPr>
            <w:tcW w:w="1108" w:type="dxa"/>
            <w:vMerge w:val="restart"/>
            <w:tcBorders>
              <w:top w:val="single" w:color="auto" w:sz="4" w:space="0"/>
              <w:left w:val="single" w:color="auto" w:sz="4" w:space="0"/>
              <w:right w:val="single" w:color="auto" w:sz="4" w:space="0"/>
            </w:tcBorders>
            <w:noWrap w:val="0"/>
            <w:vAlign w:val="center"/>
          </w:tcPr>
          <w:p w14:paraId="753E48D2">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cs="宋体"/>
                <w:szCs w:val="21"/>
                <w:highlight w:val="none"/>
              </w:rPr>
            </w:pPr>
            <w:r>
              <w:rPr>
                <w:rFonts w:hint="eastAsia" w:ascii="宋体" w:hAnsi="宋体" w:cs="宋体"/>
                <w:szCs w:val="21"/>
                <w:highlight w:val="none"/>
              </w:rPr>
              <w:t>浇水、排涝及防冻处理</w:t>
            </w:r>
          </w:p>
          <w:p w14:paraId="37AB87B6">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cs="宋体"/>
                <w:szCs w:val="21"/>
                <w:highlight w:val="none"/>
              </w:rPr>
            </w:pPr>
            <w:r>
              <w:rPr>
                <w:rFonts w:hint="eastAsia" w:ascii="宋体" w:hAnsi="宋体" w:cs="宋体"/>
                <w:szCs w:val="21"/>
                <w:highlight w:val="none"/>
              </w:rPr>
              <w:t>（5分）</w:t>
            </w:r>
          </w:p>
        </w:tc>
        <w:tc>
          <w:tcPr>
            <w:tcW w:w="2949" w:type="dxa"/>
            <w:vMerge w:val="restart"/>
            <w:tcBorders>
              <w:top w:val="single" w:color="auto" w:sz="4" w:space="0"/>
              <w:left w:val="nil"/>
              <w:right w:val="single" w:color="auto" w:sz="4" w:space="0"/>
            </w:tcBorders>
            <w:noWrap w:val="0"/>
            <w:vAlign w:val="center"/>
          </w:tcPr>
          <w:p w14:paraId="13856157">
            <w:pPr>
              <w:keepNext w:val="0"/>
              <w:keepLines w:val="0"/>
              <w:pageBreakBefore w:val="0"/>
              <w:kinsoku/>
              <w:wordWrap/>
              <w:overflowPunct/>
              <w:topLinePunct w:val="0"/>
              <w:autoSpaceDE/>
              <w:autoSpaceDN/>
              <w:bidi w:val="0"/>
              <w:adjustRightInd/>
              <w:snapToGrid/>
              <w:spacing w:line="240" w:lineRule="auto"/>
              <w:jc w:val="left"/>
              <w:textAlignment w:val="auto"/>
              <w:rPr>
                <w:rFonts w:ascii="宋体" w:hAnsi="宋体" w:cs="宋体"/>
                <w:szCs w:val="21"/>
                <w:highlight w:val="none"/>
              </w:rPr>
            </w:pPr>
            <w:r>
              <w:rPr>
                <w:rFonts w:hint="eastAsia" w:ascii="宋体" w:hAnsi="宋体" w:cs="宋体"/>
                <w:szCs w:val="21"/>
                <w:highlight w:val="none"/>
              </w:rPr>
              <w:t>1、根据天气，酌量浇水，另外夏季需及时抗旱、排涝，不能发生严重缺水或积水现象；</w:t>
            </w:r>
          </w:p>
          <w:p w14:paraId="6E864191">
            <w:pPr>
              <w:keepNext w:val="0"/>
              <w:keepLines w:val="0"/>
              <w:pageBreakBefore w:val="0"/>
              <w:kinsoku/>
              <w:wordWrap/>
              <w:overflowPunct/>
              <w:topLinePunct w:val="0"/>
              <w:autoSpaceDE/>
              <w:autoSpaceDN/>
              <w:bidi w:val="0"/>
              <w:adjustRightInd/>
              <w:snapToGrid/>
              <w:spacing w:line="240" w:lineRule="auto"/>
              <w:jc w:val="left"/>
              <w:textAlignment w:val="auto"/>
              <w:rPr>
                <w:rFonts w:ascii="宋体" w:hAnsi="宋体" w:cs="宋体"/>
                <w:szCs w:val="21"/>
                <w:highlight w:val="none"/>
              </w:rPr>
            </w:pPr>
            <w:r>
              <w:rPr>
                <w:rFonts w:hint="eastAsia" w:ascii="宋体" w:hAnsi="宋体" w:cs="宋体"/>
                <w:szCs w:val="21"/>
                <w:highlight w:val="none"/>
              </w:rPr>
              <w:t xml:space="preserve">2、及时抗旱，冬季易冻害的树木及时做防冻处理。   </w:t>
            </w:r>
          </w:p>
        </w:tc>
        <w:tc>
          <w:tcPr>
            <w:tcW w:w="3084" w:type="dxa"/>
            <w:tcBorders>
              <w:top w:val="single" w:color="auto" w:sz="4" w:space="0"/>
              <w:left w:val="nil"/>
              <w:bottom w:val="single" w:color="auto" w:sz="4" w:space="0"/>
              <w:right w:val="single" w:color="auto" w:sz="4" w:space="0"/>
            </w:tcBorders>
            <w:noWrap w:val="0"/>
            <w:vAlign w:val="center"/>
          </w:tcPr>
          <w:p w14:paraId="2DC7E4E4">
            <w:pPr>
              <w:keepNext w:val="0"/>
              <w:keepLines w:val="0"/>
              <w:pageBreakBefore w:val="0"/>
              <w:kinsoku/>
              <w:wordWrap/>
              <w:overflowPunct/>
              <w:topLinePunct w:val="0"/>
              <w:autoSpaceDE/>
              <w:autoSpaceDN/>
              <w:bidi w:val="0"/>
              <w:adjustRightInd/>
              <w:snapToGrid/>
              <w:spacing w:line="240" w:lineRule="auto"/>
              <w:jc w:val="left"/>
              <w:textAlignment w:val="auto"/>
              <w:rPr>
                <w:rFonts w:ascii="宋体" w:hAnsi="宋体" w:cs="宋体"/>
                <w:szCs w:val="21"/>
                <w:highlight w:val="none"/>
              </w:rPr>
            </w:pPr>
            <w:r>
              <w:rPr>
                <w:rFonts w:hint="eastAsia" w:ascii="宋体" w:hAnsi="宋体" w:cs="宋体"/>
                <w:szCs w:val="21"/>
                <w:highlight w:val="none"/>
              </w:rPr>
              <w:t>（1）植株严重缺水或积水，叶片枯萎，发现一株扣1分。</w:t>
            </w:r>
          </w:p>
        </w:tc>
        <w:tc>
          <w:tcPr>
            <w:tcW w:w="725" w:type="dxa"/>
            <w:tcBorders>
              <w:top w:val="single" w:color="auto" w:sz="4" w:space="0"/>
              <w:left w:val="nil"/>
              <w:bottom w:val="single" w:color="auto" w:sz="4" w:space="0"/>
              <w:right w:val="single" w:color="auto" w:sz="4" w:space="0"/>
            </w:tcBorders>
            <w:noWrap w:val="0"/>
            <w:vAlign w:val="center"/>
          </w:tcPr>
          <w:p w14:paraId="27E80F93">
            <w:pPr>
              <w:keepNext w:val="0"/>
              <w:keepLines w:val="0"/>
              <w:pageBreakBefore w:val="0"/>
              <w:kinsoku/>
              <w:wordWrap/>
              <w:overflowPunct/>
              <w:topLinePunct w:val="0"/>
              <w:autoSpaceDE/>
              <w:autoSpaceDN/>
              <w:bidi w:val="0"/>
              <w:adjustRightInd/>
              <w:snapToGrid/>
              <w:spacing w:line="240" w:lineRule="auto"/>
              <w:ind w:firstLine="420" w:firstLineChars="200"/>
              <w:jc w:val="left"/>
              <w:textAlignment w:val="auto"/>
              <w:rPr>
                <w:rFonts w:ascii="宋体" w:hAnsi="宋体" w:cs="宋体"/>
                <w:szCs w:val="21"/>
                <w:highlight w:val="none"/>
              </w:rPr>
            </w:pPr>
          </w:p>
        </w:tc>
        <w:tc>
          <w:tcPr>
            <w:tcW w:w="2034" w:type="dxa"/>
            <w:tcBorders>
              <w:top w:val="single" w:color="auto" w:sz="4" w:space="0"/>
              <w:left w:val="nil"/>
              <w:bottom w:val="single" w:color="auto" w:sz="4" w:space="0"/>
              <w:right w:val="single" w:color="auto" w:sz="4" w:space="0"/>
            </w:tcBorders>
            <w:noWrap w:val="0"/>
            <w:vAlign w:val="center"/>
          </w:tcPr>
          <w:p w14:paraId="03118D94">
            <w:pPr>
              <w:keepNext w:val="0"/>
              <w:keepLines w:val="0"/>
              <w:pageBreakBefore w:val="0"/>
              <w:kinsoku/>
              <w:wordWrap/>
              <w:overflowPunct/>
              <w:topLinePunct w:val="0"/>
              <w:autoSpaceDE/>
              <w:autoSpaceDN/>
              <w:bidi w:val="0"/>
              <w:adjustRightInd/>
              <w:snapToGrid/>
              <w:spacing w:line="240" w:lineRule="auto"/>
              <w:ind w:firstLine="420" w:firstLineChars="200"/>
              <w:jc w:val="left"/>
              <w:textAlignment w:val="auto"/>
              <w:rPr>
                <w:rFonts w:ascii="宋体" w:hAnsi="宋体" w:cs="宋体"/>
                <w:szCs w:val="21"/>
                <w:highlight w:val="none"/>
              </w:rPr>
            </w:pPr>
          </w:p>
        </w:tc>
      </w:tr>
      <w:tr w14:paraId="4D78AA5E">
        <w:tblPrEx>
          <w:tblCellMar>
            <w:top w:w="0" w:type="dxa"/>
            <w:left w:w="108" w:type="dxa"/>
            <w:bottom w:w="0" w:type="dxa"/>
            <w:right w:w="108" w:type="dxa"/>
          </w:tblCellMar>
        </w:tblPrEx>
        <w:trPr>
          <w:trHeight w:val="420" w:hRule="atLeast"/>
          <w:jc w:val="center"/>
        </w:trPr>
        <w:tc>
          <w:tcPr>
            <w:tcW w:w="1108" w:type="dxa"/>
            <w:vMerge w:val="continue"/>
            <w:tcBorders>
              <w:top w:val="single" w:color="auto" w:sz="4" w:space="0"/>
              <w:left w:val="single" w:color="auto" w:sz="4" w:space="0"/>
              <w:right w:val="single" w:color="auto" w:sz="4" w:space="0"/>
            </w:tcBorders>
            <w:noWrap w:val="0"/>
            <w:vAlign w:val="center"/>
          </w:tcPr>
          <w:p w14:paraId="407895F4">
            <w:pPr>
              <w:keepNext w:val="0"/>
              <w:keepLines w:val="0"/>
              <w:pageBreakBefore w:val="0"/>
              <w:kinsoku/>
              <w:wordWrap/>
              <w:overflowPunct/>
              <w:topLinePunct w:val="0"/>
              <w:autoSpaceDE/>
              <w:autoSpaceDN/>
              <w:bidi w:val="0"/>
              <w:adjustRightInd/>
              <w:snapToGrid/>
              <w:spacing w:line="240" w:lineRule="auto"/>
              <w:ind w:firstLine="420" w:firstLineChars="200"/>
              <w:jc w:val="both"/>
              <w:textAlignment w:val="auto"/>
              <w:rPr>
                <w:rFonts w:ascii="宋体" w:hAnsi="宋体" w:cs="宋体"/>
                <w:szCs w:val="21"/>
                <w:highlight w:val="none"/>
              </w:rPr>
            </w:pPr>
          </w:p>
        </w:tc>
        <w:tc>
          <w:tcPr>
            <w:tcW w:w="2949" w:type="dxa"/>
            <w:vMerge w:val="continue"/>
            <w:tcBorders>
              <w:top w:val="single" w:color="auto" w:sz="4" w:space="0"/>
              <w:left w:val="nil"/>
              <w:right w:val="single" w:color="auto" w:sz="4" w:space="0"/>
            </w:tcBorders>
            <w:noWrap w:val="0"/>
            <w:vAlign w:val="center"/>
          </w:tcPr>
          <w:p w14:paraId="727023FF">
            <w:pPr>
              <w:keepNext w:val="0"/>
              <w:keepLines w:val="0"/>
              <w:pageBreakBefore w:val="0"/>
              <w:kinsoku/>
              <w:wordWrap/>
              <w:overflowPunct/>
              <w:topLinePunct w:val="0"/>
              <w:autoSpaceDE/>
              <w:autoSpaceDN/>
              <w:bidi w:val="0"/>
              <w:adjustRightInd/>
              <w:snapToGrid/>
              <w:spacing w:line="240" w:lineRule="auto"/>
              <w:ind w:firstLine="420" w:firstLineChars="200"/>
              <w:jc w:val="left"/>
              <w:textAlignment w:val="auto"/>
              <w:rPr>
                <w:rFonts w:ascii="宋体" w:hAnsi="宋体" w:cs="宋体"/>
                <w:szCs w:val="21"/>
                <w:highlight w:val="none"/>
              </w:rPr>
            </w:pPr>
          </w:p>
        </w:tc>
        <w:tc>
          <w:tcPr>
            <w:tcW w:w="3084" w:type="dxa"/>
            <w:tcBorders>
              <w:top w:val="single" w:color="auto" w:sz="4" w:space="0"/>
              <w:left w:val="nil"/>
              <w:bottom w:val="single" w:color="auto" w:sz="4" w:space="0"/>
              <w:right w:val="single" w:color="auto" w:sz="4" w:space="0"/>
            </w:tcBorders>
            <w:noWrap w:val="0"/>
            <w:vAlign w:val="center"/>
          </w:tcPr>
          <w:p w14:paraId="2FB21A64">
            <w:pPr>
              <w:keepNext w:val="0"/>
              <w:keepLines w:val="0"/>
              <w:pageBreakBefore w:val="0"/>
              <w:kinsoku/>
              <w:wordWrap/>
              <w:overflowPunct/>
              <w:topLinePunct w:val="0"/>
              <w:autoSpaceDE/>
              <w:autoSpaceDN/>
              <w:bidi w:val="0"/>
              <w:adjustRightInd/>
              <w:snapToGrid/>
              <w:spacing w:line="240" w:lineRule="auto"/>
              <w:jc w:val="left"/>
              <w:textAlignment w:val="auto"/>
              <w:rPr>
                <w:rFonts w:ascii="宋体" w:hAnsi="宋体" w:cs="宋体"/>
                <w:szCs w:val="21"/>
                <w:highlight w:val="none"/>
              </w:rPr>
            </w:pPr>
            <w:r>
              <w:rPr>
                <w:rFonts w:hint="eastAsia" w:ascii="宋体" w:hAnsi="宋体" w:cs="宋体"/>
                <w:szCs w:val="21"/>
                <w:highlight w:val="none"/>
              </w:rPr>
              <w:t>（2）植物成片缺水或积水，发现一处扣3分。</w:t>
            </w:r>
          </w:p>
        </w:tc>
        <w:tc>
          <w:tcPr>
            <w:tcW w:w="725" w:type="dxa"/>
            <w:tcBorders>
              <w:top w:val="single" w:color="auto" w:sz="4" w:space="0"/>
              <w:left w:val="nil"/>
              <w:bottom w:val="single" w:color="auto" w:sz="4" w:space="0"/>
              <w:right w:val="single" w:color="auto" w:sz="4" w:space="0"/>
            </w:tcBorders>
            <w:noWrap w:val="0"/>
            <w:vAlign w:val="center"/>
          </w:tcPr>
          <w:p w14:paraId="4630C5BC">
            <w:pPr>
              <w:keepNext w:val="0"/>
              <w:keepLines w:val="0"/>
              <w:pageBreakBefore w:val="0"/>
              <w:kinsoku/>
              <w:wordWrap/>
              <w:overflowPunct/>
              <w:topLinePunct w:val="0"/>
              <w:autoSpaceDE/>
              <w:autoSpaceDN/>
              <w:bidi w:val="0"/>
              <w:adjustRightInd/>
              <w:snapToGrid/>
              <w:spacing w:line="240" w:lineRule="auto"/>
              <w:ind w:firstLine="420" w:firstLineChars="200"/>
              <w:jc w:val="left"/>
              <w:textAlignment w:val="auto"/>
              <w:rPr>
                <w:rFonts w:ascii="宋体" w:hAnsi="宋体" w:cs="宋体"/>
                <w:szCs w:val="21"/>
                <w:highlight w:val="none"/>
              </w:rPr>
            </w:pPr>
          </w:p>
        </w:tc>
        <w:tc>
          <w:tcPr>
            <w:tcW w:w="2034" w:type="dxa"/>
            <w:tcBorders>
              <w:top w:val="single" w:color="auto" w:sz="4" w:space="0"/>
              <w:left w:val="nil"/>
              <w:bottom w:val="single" w:color="auto" w:sz="4" w:space="0"/>
              <w:right w:val="single" w:color="auto" w:sz="4" w:space="0"/>
            </w:tcBorders>
            <w:noWrap w:val="0"/>
            <w:vAlign w:val="center"/>
          </w:tcPr>
          <w:p w14:paraId="733CB024">
            <w:pPr>
              <w:keepNext w:val="0"/>
              <w:keepLines w:val="0"/>
              <w:pageBreakBefore w:val="0"/>
              <w:kinsoku/>
              <w:wordWrap/>
              <w:overflowPunct/>
              <w:topLinePunct w:val="0"/>
              <w:autoSpaceDE/>
              <w:autoSpaceDN/>
              <w:bidi w:val="0"/>
              <w:adjustRightInd/>
              <w:snapToGrid/>
              <w:spacing w:line="240" w:lineRule="auto"/>
              <w:ind w:firstLine="420" w:firstLineChars="200"/>
              <w:jc w:val="left"/>
              <w:textAlignment w:val="auto"/>
              <w:rPr>
                <w:rFonts w:ascii="宋体" w:hAnsi="宋体" w:cs="宋体"/>
                <w:szCs w:val="21"/>
                <w:highlight w:val="none"/>
              </w:rPr>
            </w:pPr>
          </w:p>
        </w:tc>
      </w:tr>
      <w:tr w14:paraId="5EE8C899">
        <w:tblPrEx>
          <w:tblCellMar>
            <w:top w:w="0" w:type="dxa"/>
            <w:left w:w="108" w:type="dxa"/>
            <w:bottom w:w="0" w:type="dxa"/>
            <w:right w:w="108" w:type="dxa"/>
          </w:tblCellMar>
        </w:tblPrEx>
        <w:trPr>
          <w:trHeight w:val="481" w:hRule="atLeast"/>
          <w:jc w:val="center"/>
        </w:trPr>
        <w:tc>
          <w:tcPr>
            <w:tcW w:w="1108" w:type="dxa"/>
            <w:vMerge w:val="continue"/>
            <w:tcBorders>
              <w:left w:val="single" w:color="auto" w:sz="4" w:space="0"/>
              <w:bottom w:val="single" w:color="auto" w:sz="4" w:space="0"/>
              <w:right w:val="single" w:color="auto" w:sz="4" w:space="0"/>
            </w:tcBorders>
            <w:noWrap w:val="0"/>
            <w:vAlign w:val="center"/>
          </w:tcPr>
          <w:p w14:paraId="74DDA156">
            <w:pPr>
              <w:keepNext w:val="0"/>
              <w:keepLines w:val="0"/>
              <w:pageBreakBefore w:val="0"/>
              <w:kinsoku/>
              <w:wordWrap/>
              <w:overflowPunct/>
              <w:topLinePunct w:val="0"/>
              <w:autoSpaceDE/>
              <w:autoSpaceDN/>
              <w:bidi w:val="0"/>
              <w:adjustRightInd/>
              <w:snapToGrid/>
              <w:spacing w:line="240" w:lineRule="auto"/>
              <w:ind w:firstLine="420" w:firstLineChars="200"/>
              <w:jc w:val="both"/>
              <w:textAlignment w:val="auto"/>
              <w:rPr>
                <w:rFonts w:ascii="宋体" w:hAnsi="宋体" w:cs="宋体"/>
                <w:szCs w:val="21"/>
                <w:highlight w:val="none"/>
              </w:rPr>
            </w:pPr>
          </w:p>
        </w:tc>
        <w:tc>
          <w:tcPr>
            <w:tcW w:w="2949" w:type="dxa"/>
            <w:vMerge w:val="continue"/>
            <w:tcBorders>
              <w:left w:val="nil"/>
              <w:bottom w:val="single" w:color="auto" w:sz="4" w:space="0"/>
              <w:right w:val="single" w:color="auto" w:sz="4" w:space="0"/>
            </w:tcBorders>
            <w:noWrap w:val="0"/>
            <w:vAlign w:val="center"/>
          </w:tcPr>
          <w:p w14:paraId="698111D8">
            <w:pPr>
              <w:keepNext w:val="0"/>
              <w:keepLines w:val="0"/>
              <w:pageBreakBefore w:val="0"/>
              <w:kinsoku/>
              <w:wordWrap/>
              <w:overflowPunct/>
              <w:topLinePunct w:val="0"/>
              <w:autoSpaceDE/>
              <w:autoSpaceDN/>
              <w:bidi w:val="0"/>
              <w:adjustRightInd/>
              <w:snapToGrid/>
              <w:spacing w:line="240" w:lineRule="auto"/>
              <w:ind w:firstLine="420" w:firstLineChars="200"/>
              <w:jc w:val="left"/>
              <w:textAlignment w:val="auto"/>
              <w:rPr>
                <w:rFonts w:ascii="宋体" w:hAnsi="宋体" w:cs="宋体"/>
                <w:szCs w:val="21"/>
                <w:highlight w:val="none"/>
              </w:rPr>
            </w:pPr>
          </w:p>
        </w:tc>
        <w:tc>
          <w:tcPr>
            <w:tcW w:w="3084" w:type="dxa"/>
            <w:tcBorders>
              <w:top w:val="single" w:color="auto" w:sz="4" w:space="0"/>
              <w:left w:val="nil"/>
              <w:bottom w:val="single" w:color="auto" w:sz="4" w:space="0"/>
              <w:right w:val="single" w:color="auto" w:sz="4" w:space="0"/>
            </w:tcBorders>
            <w:noWrap w:val="0"/>
            <w:vAlign w:val="center"/>
          </w:tcPr>
          <w:p w14:paraId="022FA520">
            <w:pPr>
              <w:keepNext w:val="0"/>
              <w:keepLines w:val="0"/>
              <w:pageBreakBefore w:val="0"/>
              <w:kinsoku/>
              <w:wordWrap/>
              <w:overflowPunct/>
              <w:topLinePunct w:val="0"/>
              <w:autoSpaceDE/>
              <w:autoSpaceDN/>
              <w:bidi w:val="0"/>
              <w:adjustRightInd/>
              <w:snapToGrid/>
              <w:spacing w:line="240" w:lineRule="auto"/>
              <w:jc w:val="left"/>
              <w:textAlignment w:val="auto"/>
              <w:rPr>
                <w:rFonts w:ascii="宋体" w:hAnsi="宋体" w:cs="宋体"/>
                <w:szCs w:val="21"/>
                <w:highlight w:val="none"/>
              </w:rPr>
            </w:pPr>
            <w:r>
              <w:rPr>
                <w:rFonts w:hint="eastAsia" w:ascii="宋体" w:hAnsi="宋体" w:cs="宋体"/>
                <w:szCs w:val="21"/>
                <w:highlight w:val="none"/>
              </w:rPr>
              <w:t>（3）防冻处理不正确，发现一处扣3分。</w:t>
            </w:r>
          </w:p>
        </w:tc>
        <w:tc>
          <w:tcPr>
            <w:tcW w:w="725" w:type="dxa"/>
            <w:tcBorders>
              <w:top w:val="single" w:color="auto" w:sz="4" w:space="0"/>
              <w:left w:val="nil"/>
              <w:bottom w:val="single" w:color="auto" w:sz="4" w:space="0"/>
              <w:right w:val="single" w:color="auto" w:sz="4" w:space="0"/>
            </w:tcBorders>
            <w:noWrap w:val="0"/>
            <w:vAlign w:val="center"/>
          </w:tcPr>
          <w:p w14:paraId="444ADC10">
            <w:pPr>
              <w:keepNext w:val="0"/>
              <w:keepLines w:val="0"/>
              <w:pageBreakBefore w:val="0"/>
              <w:kinsoku/>
              <w:wordWrap/>
              <w:overflowPunct/>
              <w:topLinePunct w:val="0"/>
              <w:autoSpaceDE/>
              <w:autoSpaceDN/>
              <w:bidi w:val="0"/>
              <w:adjustRightInd/>
              <w:snapToGrid/>
              <w:spacing w:line="240" w:lineRule="auto"/>
              <w:ind w:firstLine="420" w:firstLineChars="200"/>
              <w:jc w:val="left"/>
              <w:textAlignment w:val="auto"/>
              <w:rPr>
                <w:rFonts w:ascii="宋体" w:hAnsi="宋体" w:cs="宋体"/>
                <w:szCs w:val="21"/>
                <w:highlight w:val="none"/>
              </w:rPr>
            </w:pPr>
          </w:p>
        </w:tc>
        <w:tc>
          <w:tcPr>
            <w:tcW w:w="2034" w:type="dxa"/>
            <w:tcBorders>
              <w:top w:val="single" w:color="auto" w:sz="4" w:space="0"/>
              <w:left w:val="nil"/>
              <w:bottom w:val="single" w:color="auto" w:sz="4" w:space="0"/>
              <w:right w:val="single" w:color="auto" w:sz="4" w:space="0"/>
            </w:tcBorders>
            <w:noWrap w:val="0"/>
            <w:vAlign w:val="center"/>
          </w:tcPr>
          <w:p w14:paraId="4F649773">
            <w:pPr>
              <w:keepNext w:val="0"/>
              <w:keepLines w:val="0"/>
              <w:pageBreakBefore w:val="0"/>
              <w:kinsoku/>
              <w:wordWrap/>
              <w:overflowPunct/>
              <w:topLinePunct w:val="0"/>
              <w:autoSpaceDE/>
              <w:autoSpaceDN/>
              <w:bidi w:val="0"/>
              <w:adjustRightInd/>
              <w:snapToGrid/>
              <w:spacing w:line="240" w:lineRule="auto"/>
              <w:ind w:firstLine="420" w:firstLineChars="200"/>
              <w:jc w:val="left"/>
              <w:textAlignment w:val="auto"/>
              <w:rPr>
                <w:rFonts w:ascii="宋体" w:hAnsi="宋体" w:cs="宋体"/>
                <w:szCs w:val="21"/>
                <w:highlight w:val="none"/>
              </w:rPr>
            </w:pPr>
          </w:p>
        </w:tc>
      </w:tr>
      <w:tr w14:paraId="1C1570EE">
        <w:tblPrEx>
          <w:tblCellMar>
            <w:top w:w="0" w:type="dxa"/>
            <w:left w:w="108" w:type="dxa"/>
            <w:bottom w:w="0" w:type="dxa"/>
            <w:right w:w="108" w:type="dxa"/>
          </w:tblCellMar>
        </w:tblPrEx>
        <w:trPr>
          <w:trHeight w:val="460" w:hRule="atLeast"/>
          <w:jc w:val="center"/>
        </w:trPr>
        <w:tc>
          <w:tcPr>
            <w:tcW w:w="1108" w:type="dxa"/>
            <w:vMerge w:val="restart"/>
            <w:tcBorders>
              <w:top w:val="single" w:color="auto" w:sz="4" w:space="0"/>
              <w:left w:val="single" w:color="auto" w:sz="4" w:space="0"/>
              <w:bottom w:val="single" w:color="auto" w:sz="4" w:space="0"/>
              <w:right w:val="single" w:color="auto" w:sz="4" w:space="0"/>
            </w:tcBorders>
            <w:noWrap w:val="0"/>
            <w:vAlign w:val="center"/>
          </w:tcPr>
          <w:p w14:paraId="6112FE27">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cs="宋体"/>
                <w:szCs w:val="21"/>
                <w:highlight w:val="none"/>
              </w:rPr>
            </w:pPr>
            <w:r>
              <w:rPr>
                <w:rFonts w:hint="eastAsia" w:ascii="宋体" w:hAnsi="宋体" w:cs="宋体"/>
                <w:szCs w:val="21"/>
                <w:highlight w:val="none"/>
              </w:rPr>
              <w:t>保存率（15分）</w:t>
            </w:r>
          </w:p>
        </w:tc>
        <w:tc>
          <w:tcPr>
            <w:tcW w:w="2949" w:type="dxa"/>
            <w:vMerge w:val="restart"/>
            <w:tcBorders>
              <w:top w:val="single" w:color="auto" w:sz="4" w:space="0"/>
              <w:left w:val="nil"/>
              <w:bottom w:val="single" w:color="auto" w:sz="4" w:space="0"/>
              <w:right w:val="single" w:color="auto" w:sz="4" w:space="0"/>
            </w:tcBorders>
            <w:noWrap w:val="0"/>
            <w:vAlign w:val="center"/>
          </w:tcPr>
          <w:p w14:paraId="49BF0D73">
            <w:pPr>
              <w:keepNext w:val="0"/>
              <w:keepLines w:val="0"/>
              <w:pageBreakBefore w:val="0"/>
              <w:numPr>
                <w:ilvl w:val="0"/>
                <w:numId w:val="8"/>
              </w:numPr>
              <w:kinsoku/>
              <w:wordWrap/>
              <w:overflowPunct/>
              <w:topLinePunct w:val="0"/>
              <w:autoSpaceDE/>
              <w:autoSpaceDN/>
              <w:bidi w:val="0"/>
              <w:adjustRightInd/>
              <w:snapToGrid/>
              <w:spacing w:line="240" w:lineRule="auto"/>
              <w:jc w:val="left"/>
              <w:textAlignment w:val="auto"/>
              <w:rPr>
                <w:rFonts w:hint="eastAsia" w:ascii="宋体" w:hAnsi="宋体" w:cs="宋体"/>
                <w:szCs w:val="21"/>
                <w:highlight w:val="none"/>
              </w:rPr>
            </w:pPr>
            <w:r>
              <w:rPr>
                <w:rFonts w:hint="eastAsia" w:ascii="宋体" w:hAnsi="宋体" w:cs="宋体"/>
                <w:szCs w:val="21"/>
                <w:highlight w:val="none"/>
              </w:rPr>
              <w:t>如出现死亡乔木、花灌木、草坪及时报批倒伐；</w:t>
            </w:r>
          </w:p>
          <w:p w14:paraId="51FAAD9E">
            <w:pPr>
              <w:keepNext w:val="0"/>
              <w:keepLines w:val="0"/>
              <w:pageBreakBefore w:val="0"/>
              <w:numPr>
                <w:ilvl w:val="0"/>
                <w:numId w:val="8"/>
              </w:numPr>
              <w:kinsoku/>
              <w:wordWrap/>
              <w:overflowPunct/>
              <w:topLinePunct w:val="0"/>
              <w:autoSpaceDE/>
              <w:autoSpaceDN/>
              <w:bidi w:val="0"/>
              <w:adjustRightInd/>
              <w:snapToGrid/>
              <w:spacing w:line="240" w:lineRule="auto"/>
              <w:jc w:val="left"/>
              <w:textAlignment w:val="auto"/>
              <w:rPr>
                <w:rFonts w:ascii="宋体" w:hAnsi="宋体" w:cs="宋体"/>
                <w:szCs w:val="21"/>
                <w:highlight w:val="none"/>
              </w:rPr>
            </w:pPr>
            <w:r>
              <w:rPr>
                <w:rFonts w:hint="eastAsia" w:ascii="宋体" w:hAnsi="宋体" w:cs="宋体"/>
                <w:szCs w:val="21"/>
                <w:highlight w:val="none"/>
              </w:rPr>
              <w:t xml:space="preserve">2、死亡乔木、花灌木、草坪及时补植。 </w:t>
            </w:r>
          </w:p>
        </w:tc>
        <w:tc>
          <w:tcPr>
            <w:tcW w:w="3084" w:type="dxa"/>
            <w:tcBorders>
              <w:top w:val="single" w:color="auto" w:sz="4" w:space="0"/>
              <w:left w:val="nil"/>
              <w:bottom w:val="single" w:color="auto" w:sz="4" w:space="0"/>
              <w:right w:val="single" w:color="auto" w:sz="4" w:space="0"/>
            </w:tcBorders>
            <w:noWrap w:val="0"/>
            <w:vAlign w:val="center"/>
          </w:tcPr>
          <w:p w14:paraId="70FC48EA">
            <w:pPr>
              <w:keepNext w:val="0"/>
              <w:keepLines w:val="0"/>
              <w:pageBreakBefore w:val="0"/>
              <w:kinsoku/>
              <w:wordWrap/>
              <w:overflowPunct/>
              <w:topLinePunct w:val="0"/>
              <w:autoSpaceDE/>
              <w:autoSpaceDN/>
              <w:bidi w:val="0"/>
              <w:adjustRightInd/>
              <w:snapToGrid/>
              <w:spacing w:line="240" w:lineRule="auto"/>
              <w:jc w:val="left"/>
              <w:textAlignment w:val="auto"/>
              <w:rPr>
                <w:rFonts w:ascii="宋体" w:hAnsi="宋体" w:cs="宋体"/>
                <w:szCs w:val="21"/>
                <w:highlight w:val="none"/>
              </w:rPr>
            </w:pPr>
            <w:r>
              <w:rPr>
                <w:rFonts w:hint="eastAsia" w:ascii="宋体" w:hAnsi="宋体" w:cs="宋体"/>
                <w:szCs w:val="21"/>
                <w:highlight w:val="none"/>
              </w:rPr>
              <w:t>（1）发现死亡的，每株（块）扣3分。</w:t>
            </w:r>
          </w:p>
        </w:tc>
        <w:tc>
          <w:tcPr>
            <w:tcW w:w="725" w:type="dxa"/>
            <w:tcBorders>
              <w:top w:val="single" w:color="auto" w:sz="4" w:space="0"/>
              <w:left w:val="nil"/>
              <w:bottom w:val="single" w:color="auto" w:sz="4" w:space="0"/>
              <w:right w:val="single" w:color="auto" w:sz="4" w:space="0"/>
            </w:tcBorders>
            <w:noWrap w:val="0"/>
            <w:vAlign w:val="center"/>
          </w:tcPr>
          <w:p w14:paraId="5DE78136">
            <w:pPr>
              <w:keepNext w:val="0"/>
              <w:keepLines w:val="0"/>
              <w:pageBreakBefore w:val="0"/>
              <w:kinsoku/>
              <w:wordWrap/>
              <w:overflowPunct/>
              <w:topLinePunct w:val="0"/>
              <w:autoSpaceDE/>
              <w:autoSpaceDN/>
              <w:bidi w:val="0"/>
              <w:adjustRightInd/>
              <w:snapToGrid/>
              <w:spacing w:line="240" w:lineRule="auto"/>
              <w:ind w:firstLine="420" w:firstLineChars="200"/>
              <w:jc w:val="left"/>
              <w:textAlignment w:val="auto"/>
              <w:rPr>
                <w:rFonts w:ascii="宋体" w:hAnsi="宋体" w:cs="宋体"/>
                <w:szCs w:val="21"/>
                <w:highlight w:val="none"/>
              </w:rPr>
            </w:pPr>
          </w:p>
        </w:tc>
        <w:tc>
          <w:tcPr>
            <w:tcW w:w="2034" w:type="dxa"/>
            <w:tcBorders>
              <w:top w:val="single" w:color="auto" w:sz="4" w:space="0"/>
              <w:left w:val="nil"/>
              <w:bottom w:val="single" w:color="auto" w:sz="4" w:space="0"/>
              <w:right w:val="single" w:color="auto" w:sz="4" w:space="0"/>
            </w:tcBorders>
            <w:noWrap w:val="0"/>
            <w:vAlign w:val="center"/>
          </w:tcPr>
          <w:p w14:paraId="4AB68C25">
            <w:pPr>
              <w:keepNext w:val="0"/>
              <w:keepLines w:val="0"/>
              <w:pageBreakBefore w:val="0"/>
              <w:kinsoku/>
              <w:wordWrap/>
              <w:overflowPunct/>
              <w:topLinePunct w:val="0"/>
              <w:autoSpaceDE/>
              <w:autoSpaceDN/>
              <w:bidi w:val="0"/>
              <w:adjustRightInd/>
              <w:snapToGrid/>
              <w:spacing w:line="240" w:lineRule="auto"/>
              <w:ind w:firstLine="420" w:firstLineChars="200"/>
              <w:jc w:val="left"/>
              <w:textAlignment w:val="auto"/>
              <w:rPr>
                <w:rFonts w:ascii="宋体" w:hAnsi="宋体" w:cs="宋体"/>
                <w:szCs w:val="21"/>
                <w:highlight w:val="none"/>
              </w:rPr>
            </w:pPr>
          </w:p>
        </w:tc>
      </w:tr>
      <w:tr w14:paraId="7410D072">
        <w:tblPrEx>
          <w:tblCellMar>
            <w:top w:w="0" w:type="dxa"/>
            <w:left w:w="108" w:type="dxa"/>
            <w:bottom w:w="0" w:type="dxa"/>
            <w:right w:w="108" w:type="dxa"/>
          </w:tblCellMar>
        </w:tblPrEx>
        <w:trPr>
          <w:trHeight w:val="510" w:hRule="atLeast"/>
          <w:jc w:val="center"/>
        </w:trPr>
        <w:tc>
          <w:tcPr>
            <w:tcW w:w="1108" w:type="dxa"/>
            <w:vMerge w:val="continue"/>
            <w:tcBorders>
              <w:top w:val="single" w:color="auto" w:sz="4" w:space="0"/>
              <w:left w:val="single" w:color="auto" w:sz="4" w:space="0"/>
              <w:bottom w:val="single" w:color="auto" w:sz="4" w:space="0"/>
              <w:right w:val="single" w:color="auto" w:sz="4" w:space="0"/>
            </w:tcBorders>
            <w:noWrap w:val="0"/>
            <w:vAlign w:val="center"/>
          </w:tcPr>
          <w:p w14:paraId="33C4F69B">
            <w:pPr>
              <w:keepNext w:val="0"/>
              <w:keepLines w:val="0"/>
              <w:pageBreakBefore w:val="0"/>
              <w:kinsoku/>
              <w:wordWrap/>
              <w:overflowPunct/>
              <w:topLinePunct w:val="0"/>
              <w:autoSpaceDE/>
              <w:autoSpaceDN/>
              <w:bidi w:val="0"/>
              <w:adjustRightInd/>
              <w:snapToGrid/>
              <w:spacing w:line="240" w:lineRule="auto"/>
              <w:ind w:firstLine="420" w:firstLineChars="200"/>
              <w:jc w:val="both"/>
              <w:textAlignment w:val="auto"/>
              <w:rPr>
                <w:rFonts w:ascii="宋体" w:hAnsi="宋体" w:cs="宋体"/>
                <w:szCs w:val="21"/>
                <w:highlight w:val="none"/>
              </w:rPr>
            </w:pPr>
          </w:p>
        </w:tc>
        <w:tc>
          <w:tcPr>
            <w:tcW w:w="2949" w:type="dxa"/>
            <w:vMerge w:val="continue"/>
            <w:tcBorders>
              <w:top w:val="single" w:color="auto" w:sz="4" w:space="0"/>
              <w:left w:val="nil"/>
              <w:bottom w:val="single" w:color="auto" w:sz="4" w:space="0"/>
              <w:right w:val="single" w:color="auto" w:sz="4" w:space="0"/>
            </w:tcBorders>
            <w:noWrap w:val="0"/>
            <w:vAlign w:val="center"/>
          </w:tcPr>
          <w:p w14:paraId="48A785CD">
            <w:pPr>
              <w:keepNext w:val="0"/>
              <w:keepLines w:val="0"/>
              <w:pageBreakBefore w:val="0"/>
              <w:kinsoku/>
              <w:wordWrap/>
              <w:overflowPunct/>
              <w:topLinePunct w:val="0"/>
              <w:autoSpaceDE/>
              <w:autoSpaceDN/>
              <w:bidi w:val="0"/>
              <w:adjustRightInd/>
              <w:snapToGrid/>
              <w:spacing w:line="240" w:lineRule="auto"/>
              <w:ind w:firstLine="420" w:firstLineChars="200"/>
              <w:jc w:val="left"/>
              <w:textAlignment w:val="auto"/>
              <w:rPr>
                <w:rFonts w:ascii="宋体" w:hAnsi="宋体" w:cs="宋体"/>
                <w:szCs w:val="21"/>
                <w:highlight w:val="none"/>
              </w:rPr>
            </w:pPr>
          </w:p>
        </w:tc>
        <w:tc>
          <w:tcPr>
            <w:tcW w:w="3084" w:type="dxa"/>
            <w:tcBorders>
              <w:top w:val="single" w:color="auto" w:sz="4" w:space="0"/>
              <w:left w:val="nil"/>
              <w:bottom w:val="single" w:color="auto" w:sz="4" w:space="0"/>
              <w:right w:val="single" w:color="auto" w:sz="4" w:space="0"/>
            </w:tcBorders>
            <w:noWrap w:val="0"/>
            <w:vAlign w:val="center"/>
          </w:tcPr>
          <w:p w14:paraId="11247E57">
            <w:pPr>
              <w:keepNext w:val="0"/>
              <w:keepLines w:val="0"/>
              <w:pageBreakBefore w:val="0"/>
              <w:kinsoku/>
              <w:wordWrap/>
              <w:overflowPunct/>
              <w:topLinePunct w:val="0"/>
              <w:autoSpaceDE/>
              <w:autoSpaceDN/>
              <w:bidi w:val="0"/>
              <w:adjustRightInd/>
              <w:snapToGrid/>
              <w:spacing w:line="240" w:lineRule="auto"/>
              <w:jc w:val="left"/>
              <w:textAlignment w:val="auto"/>
              <w:rPr>
                <w:rFonts w:ascii="宋体" w:hAnsi="宋体" w:cs="宋体"/>
                <w:szCs w:val="21"/>
                <w:highlight w:val="none"/>
              </w:rPr>
            </w:pPr>
            <w:r>
              <w:rPr>
                <w:rFonts w:hint="eastAsia" w:ascii="宋体" w:hAnsi="宋体" w:cs="宋体"/>
                <w:szCs w:val="21"/>
                <w:highlight w:val="none"/>
              </w:rPr>
              <w:t>（2）未及时补植同品种、同规格苗木，每株（块）扣3分。</w:t>
            </w:r>
          </w:p>
        </w:tc>
        <w:tc>
          <w:tcPr>
            <w:tcW w:w="725" w:type="dxa"/>
            <w:tcBorders>
              <w:top w:val="single" w:color="auto" w:sz="4" w:space="0"/>
              <w:left w:val="nil"/>
              <w:bottom w:val="single" w:color="auto" w:sz="4" w:space="0"/>
              <w:right w:val="single" w:color="auto" w:sz="4" w:space="0"/>
            </w:tcBorders>
            <w:noWrap w:val="0"/>
            <w:vAlign w:val="center"/>
          </w:tcPr>
          <w:p w14:paraId="60DB247F">
            <w:pPr>
              <w:keepNext w:val="0"/>
              <w:keepLines w:val="0"/>
              <w:pageBreakBefore w:val="0"/>
              <w:kinsoku/>
              <w:wordWrap/>
              <w:overflowPunct/>
              <w:topLinePunct w:val="0"/>
              <w:autoSpaceDE/>
              <w:autoSpaceDN/>
              <w:bidi w:val="0"/>
              <w:adjustRightInd/>
              <w:snapToGrid/>
              <w:spacing w:line="240" w:lineRule="auto"/>
              <w:ind w:firstLine="420" w:firstLineChars="200"/>
              <w:jc w:val="left"/>
              <w:textAlignment w:val="auto"/>
              <w:rPr>
                <w:rFonts w:ascii="宋体" w:hAnsi="宋体" w:cs="宋体"/>
                <w:szCs w:val="21"/>
                <w:highlight w:val="none"/>
              </w:rPr>
            </w:pPr>
          </w:p>
        </w:tc>
        <w:tc>
          <w:tcPr>
            <w:tcW w:w="2034" w:type="dxa"/>
            <w:tcBorders>
              <w:top w:val="single" w:color="auto" w:sz="4" w:space="0"/>
              <w:left w:val="nil"/>
              <w:bottom w:val="single" w:color="auto" w:sz="4" w:space="0"/>
              <w:right w:val="single" w:color="auto" w:sz="4" w:space="0"/>
            </w:tcBorders>
            <w:noWrap w:val="0"/>
            <w:vAlign w:val="center"/>
          </w:tcPr>
          <w:p w14:paraId="150974B6">
            <w:pPr>
              <w:keepNext w:val="0"/>
              <w:keepLines w:val="0"/>
              <w:pageBreakBefore w:val="0"/>
              <w:kinsoku/>
              <w:wordWrap/>
              <w:overflowPunct/>
              <w:topLinePunct w:val="0"/>
              <w:autoSpaceDE/>
              <w:autoSpaceDN/>
              <w:bidi w:val="0"/>
              <w:adjustRightInd/>
              <w:snapToGrid/>
              <w:spacing w:line="240" w:lineRule="auto"/>
              <w:ind w:firstLine="420" w:firstLineChars="200"/>
              <w:jc w:val="left"/>
              <w:textAlignment w:val="auto"/>
              <w:rPr>
                <w:rFonts w:ascii="宋体" w:hAnsi="宋体" w:cs="宋体"/>
                <w:szCs w:val="21"/>
                <w:highlight w:val="none"/>
              </w:rPr>
            </w:pPr>
          </w:p>
        </w:tc>
      </w:tr>
      <w:tr w14:paraId="26A575E1">
        <w:tblPrEx>
          <w:tblCellMar>
            <w:top w:w="0" w:type="dxa"/>
            <w:left w:w="108" w:type="dxa"/>
            <w:bottom w:w="0" w:type="dxa"/>
            <w:right w:w="108" w:type="dxa"/>
          </w:tblCellMar>
        </w:tblPrEx>
        <w:trPr>
          <w:trHeight w:val="642" w:hRule="atLeast"/>
          <w:jc w:val="center"/>
        </w:trPr>
        <w:tc>
          <w:tcPr>
            <w:tcW w:w="1108" w:type="dxa"/>
            <w:vMerge w:val="restart"/>
            <w:tcBorders>
              <w:top w:val="single" w:color="auto" w:sz="4" w:space="0"/>
              <w:left w:val="single" w:color="auto" w:sz="4" w:space="0"/>
              <w:bottom w:val="single" w:color="auto" w:sz="4" w:space="0"/>
              <w:right w:val="single" w:color="auto" w:sz="4" w:space="0"/>
            </w:tcBorders>
            <w:noWrap w:val="0"/>
            <w:vAlign w:val="center"/>
          </w:tcPr>
          <w:p w14:paraId="03DE1222">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cs="宋体"/>
                <w:szCs w:val="21"/>
                <w:highlight w:val="none"/>
              </w:rPr>
            </w:pPr>
            <w:r>
              <w:rPr>
                <w:rFonts w:hint="eastAsia" w:ascii="宋体" w:hAnsi="宋体" w:cs="宋体"/>
                <w:szCs w:val="21"/>
                <w:highlight w:val="none"/>
              </w:rPr>
              <w:t>卫生</w:t>
            </w:r>
          </w:p>
          <w:p w14:paraId="12EA29ED">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cs="宋体"/>
                <w:szCs w:val="21"/>
                <w:highlight w:val="none"/>
              </w:rPr>
            </w:pPr>
            <w:r>
              <w:rPr>
                <w:rFonts w:hint="eastAsia" w:ascii="宋体" w:hAnsi="宋体" w:cs="宋体"/>
                <w:szCs w:val="21"/>
                <w:highlight w:val="none"/>
              </w:rPr>
              <w:t>保洁</w:t>
            </w:r>
          </w:p>
          <w:p w14:paraId="2C17C9A6">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cs="宋体"/>
                <w:szCs w:val="21"/>
                <w:highlight w:val="none"/>
              </w:rPr>
            </w:pPr>
            <w:r>
              <w:rPr>
                <w:rFonts w:hint="eastAsia" w:ascii="宋体" w:hAnsi="宋体" w:cs="宋体"/>
                <w:szCs w:val="21"/>
                <w:highlight w:val="none"/>
              </w:rPr>
              <w:t>（15分）</w:t>
            </w:r>
          </w:p>
          <w:p w14:paraId="7671C1B3">
            <w:pPr>
              <w:keepNext w:val="0"/>
              <w:keepLines w:val="0"/>
              <w:pageBreakBefore w:val="0"/>
              <w:kinsoku/>
              <w:wordWrap/>
              <w:overflowPunct/>
              <w:topLinePunct w:val="0"/>
              <w:autoSpaceDE/>
              <w:autoSpaceDN/>
              <w:bidi w:val="0"/>
              <w:adjustRightInd/>
              <w:snapToGrid/>
              <w:spacing w:line="240" w:lineRule="auto"/>
              <w:ind w:firstLine="420" w:firstLineChars="200"/>
              <w:jc w:val="both"/>
              <w:textAlignment w:val="auto"/>
              <w:rPr>
                <w:rFonts w:ascii="宋体" w:hAnsi="宋体" w:cs="宋体"/>
                <w:szCs w:val="21"/>
                <w:highlight w:val="none"/>
              </w:rPr>
            </w:pPr>
          </w:p>
        </w:tc>
        <w:tc>
          <w:tcPr>
            <w:tcW w:w="2949" w:type="dxa"/>
            <w:tcBorders>
              <w:top w:val="single" w:color="auto" w:sz="4" w:space="0"/>
              <w:left w:val="nil"/>
              <w:bottom w:val="single" w:color="auto" w:sz="4" w:space="0"/>
              <w:right w:val="single" w:color="auto" w:sz="4" w:space="0"/>
            </w:tcBorders>
            <w:noWrap w:val="0"/>
            <w:vAlign w:val="center"/>
          </w:tcPr>
          <w:p w14:paraId="7B2F1B13">
            <w:pPr>
              <w:keepNext w:val="0"/>
              <w:keepLines w:val="0"/>
              <w:pageBreakBefore w:val="0"/>
              <w:kinsoku/>
              <w:wordWrap/>
              <w:overflowPunct/>
              <w:topLinePunct w:val="0"/>
              <w:autoSpaceDE/>
              <w:autoSpaceDN/>
              <w:bidi w:val="0"/>
              <w:adjustRightInd/>
              <w:snapToGrid/>
              <w:spacing w:line="240" w:lineRule="auto"/>
              <w:jc w:val="left"/>
              <w:textAlignment w:val="auto"/>
              <w:rPr>
                <w:rFonts w:ascii="宋体" w:hAnsi="宋体" w:cs="宋体"/>
                <w:szCs w:val="21"/>
                <w:highlight w:val="none"/>
              </w:rPr>
            </w:pPr>
            <w:r>
              <w:rPr>
                <w:rFonts w:ascii="宋体" w:hAnsi="宋体" w:cs="宋体"/>
                <w:szCs w:val="21"/>
                <w:highlight w:val="none"/>
              </w:rPr>
              <w:t xml:space="preserve">1、绿地保洁   </w:t>
            </w:r>
          </w:p>
          <w:p w14:paraId="47337E01">
            <w:pPr>
              <w:keepNext w:val="0"/>
              <w:keepLines w:val="0"/>
              <w:pageBreakBefore w:val="0"/>
              <w:kinsoku/>
              <w:wordWrap/>
              <w:overflowPunct/>
              <w:topLinePunct w:val="0"/>
              <w:autoSpaceDE/>
              <w:autoSpaceDN/>
              <w:bidi w:val="0"/>
              <w:adjustRightInd/>
              <w:snapToGrid/>
              <w:spacing w:line="240" w:lineRule="auto"/>
              <w:jc w:val="left"/>
              <w:textAlignment w:val="auto"/>
              <w:rPr>
                <w:rFonts w:ascii="宋体" w:hAnsi="宋体" w:cs="宋体"/>
                <w:szCs w:val="21"/>
                <w:highlight w:val="none"/>
              </w:rPr>
            </w:pPr>
            <w:r>
              <w:rPr>
                <w:rFonts w:ascii="宋体" w:hAnsi="宋体" w:cs="宋体"/>
                <w:szCs w:val="21"/>
                <w:highlight w:val="none"/>
              </w:rPr>
              <w:t>（1）绿地</w:t>
            </w:r>
            <w:r>
              <w:rPr>
                <w:rFonts w:hint="eastAsia" w:ascii="宋体" w:hAnsi="宋体" w:cs="宋体"/>
                <w:szCs w:val="21"/>
                <w:highlight w:val="none"/>
              </w:rPr>
              <w:t>及广场</w:t>
            </w:r>
            <w:r>
              <w:rPr>
                <w:rFonts w:ascii="宋体" w:hAnsi="宋体" w:cs="宋体"/>
                <w:szCs w:val="21"/>
                <w:highlight w:val="none"/>
              </w:rPr>
              <w:t>整洁，无杂物、无白色污染（树挂）。</w:t>
            </w:r>
          </w:p>
          <w:p w14:paraId="2276F2EC">
            <w:pPr>
              <w:keepNext w:val="0"/>
              <w:keepLines w:val="0"/>
              <w:pageBreakBefore w:val="0"/>
              <w:kinsoku/>
              <w:wordWrap/>
              <w:overflowPunct/>
              <w:topLinePunct w:val="0"/>
              <w:autoSpaceDE/>
              <w:autoSpaceDN/>
              <w:bidi w:val="0"/>
              <w:adjustRightInd/>
              <w:snapToGrid/>
              <w:spacing w:line="240" w:lineRule="auto"/>
              <w:jc w:val="left"/>
              <w:textAlignment w:val="auto"/>
              <w:rPr>
                <w:rFonts w:ascii="宋体" w:hAnsi="宋体" w:cs="宋体"/>
                <w:szCs w:val="21"/>
                <w:highlight w:val="none"/>
              </w:rPr>
            </w:pPr>
            <w:r>
              <w:rPr>
                <w:rFonts w:ascii="宋体" w:hAnsi="宋体" w:cs="宋体"/>
                <w:szCs w:val="21"/>
                <w:highlight w:val="none"/>
              </w:rPr>
              <w:t>（2）绿地内水面杂物及时清理，做到巡视保洁。</w:t>
            </w:r>
          </w:p>
        </w:tc>
        <w:tc>
          <w:tcPr>
            <w:tcW w:w="3084" w:type="dxa"/>
            <w:tcBorders>
              <w:top w:val="single" w:color="auto" w:sz="4" w:space="0"/>
              <w:left w:val="nil"/>
              <w:bottom w:val="single" w:color="auto" w:sz="4" w:space="0"/>
              <w:right w:val="single" w:color="auto" w:sz="4" w:space="0"/>
            </w:tcBorders>
            <w:noWrap w:val="0"/>
            <w:vAlign w:val="center"/>
          </w:tcPr>
          <w:p w14:paraId="1BAF3556">
            <w:pPr>
              <w:keepNext w:val="0"/>
              <w:keepLines w:val="0"/>
              <w:pageBreakBefore w:val="0"/>
              <w:kinsoku/>
              <w:wordWrap/>
              <w:overflowPunct/>
              <w:topLinePunct w:val="0"/>
              <w:autoSpaceDE/>
              <w:autoSpaceDN/>
              <w:bidi w:val="0"/>
              <w:adjustRightInd/>
              <w:snapToGrid/>
              <w:spacing w:line="240" w:lineRule="auto"/>
              <w:jc w:val="left"/>
              <w:textAlignment w:val="auto"/>
              <w:rPr>
                <w:rFonts w:ascii="宋体" w:hAnsi="宋体" w:cs="宋体"/>
                <w:szCs w:val="21"/>
                <w:highlight w:val="none"/>
              </w:rPr>
            </w:pPr>
            <w:r>
              <w:rPr>
                <w:rFonts w:ascii="宋体" w:hAnsi="宋体" w:cs="宋体"/>
                <w:szCs w:val="21"/>
                <w:highlight w:val="none"/>
              </w:rPr>
              <w:t>（1）发现绿地</w:t>
            </w:r>
            <w:r>
              <w:rPr>
                <w:rFonts w:hint="eastAsia" w:ascii="宋体" w:hAnsi="宋体" w:cs="宋体"/>
                <w:szCs w:val="21"/>
                <w:highlight w:val="none"/>
              </w:rPr>
              <w:t>及广场有生活垃圾</w:t>
            </w:r>
            <w:r>
              <w:rPr>
                <w:rFonts w:ascii="宋体" w:hAnsi="宋体" w:cs="宋体"/>
                <w:szCs w:val="21"/>
                <w:highlight w:val="none"/>
              </w:rPr>
              <w:t>等杂物，每</w:t>
            </w:r>
            <w:r>
              <w:rPr>
                <w:rFonts w:hint="eastAsia" w:ascii="宋体" w:hAnsi="宋体" w:cs="宋体"/>
                <w:szCs w:val="21"/>
                <w:highlight w:val="none"/>
              </w:rPr>
              <w:t>处</w:t>
            </w:r>
            <w:r>
              <w:rPr>
                <w:rFonts w:ascii="宋体" w:hAnsi="宋体" w:cs="宋体"/>
                <w:szCs w:val="21"/>
                <w:highlight w:val="none"/>
              </w:rPr>
              <w:t>扣</w:t>
            </w:r>
            <w:r>
              <w:rPr>
                <w:rFonts w:hint="eastAsia" w:ascii="宋体" w:hAnsi="宋体" w:cs="宋体"/>
                <w:szCs w:val="21"/>
                <w:highlight w:val="none"/>
              </w:rPr>
              <w:t>0.5</w:t>
            </w:r>
            <w:r>
              <w:rPr>
                <w:rFonts w:ascii="宋体" w:hAnsi="宋体" w:cs="宋体"/>
                <w:szCs w:val="21"/>
                <w:highlight w:val="none"/>
              </w:rPr>
              <w:t>分。</w:t>
            </w:r>
          </w:p>
          <w:p w14:paraId="7BF2FF41">
            <w:pPr>
              <w:keepNext w:val="0"/>
              <w:keepLines w:val="0"/>
              <w:pageBreakBefore w:val="0"/>
              <w:kinsoku/>
              <w:wordWrap/>
              <w:overflowPunct/>
              <w:topLinePunct w:val="0"/>
              <w:autoSpaceDE/>
              <w:autoSpaceDN/>
              <w:bidi w:val="0"/>
              <w:adjustRightInd/>
              <w:snapToGrid/>
              <w:spacing w:line="240" w:lineRule="auto"/>
              <w:jc w:val="left"/>
              <w:textAlignment w:val="auto"/>
              <w:rPr>
                <w:rFonts w:ascii="宋体" w:hAnsi="宋体" w:cs="宋体"/>
                <w:szCs w:val="21"/>
                <w:highlight w:val="none"/>
              </w:rPr>
            </w:pPr>
            <w:r>
              <w:rPr>
                <w:rFonts w:ascii="宋体" w:hAnsi="宋体" w:cs="宋体"/>
                <w:szCs w:val="21"/>
                <w:highlight w:val="none"/>
              </w:rPr>
              <w:t>（2）发现绿地内水面</w:t>
            </w:r>
            <w:r>
              <w:rPr>
                <w:rFonts w:hint="eastAsia" w:ascii="宋体" w:hAnsi="宋体" w:cs="宋体"/>
                <w:szCs w:val="21"/>
                <w:highlight w:val="none"/>
              </w:rPr>
              <w:t>有</w:t>
            </w:r>
            <w:r>
              <w:rPr>
                <w:rFonts w:ascii="宋体" w:hAnsi="宋体" w:cs="宋体"/>
                <w:szCs w:val="21"/>
                <w:highlight w:val="none"/>
              </w:rPr>
              <w:t>杂物，每处扣</w:t>
            </w:r>
            <w:r>
              <w:rPr>
                <w:rFonts w:hint="eastAsia" w:ascii="宋体" w:hAnsi="宋体" w:cs="宋体"/>
                <w:szCs w:val="21"/>
                <w:highlight w:val="none"/>
              </w:rPr>
              <w:t>0.5</w:t>
            </w:r>
            <w:r>
              <w:rPr>
                <w:rFonts w:ascii="宋体" w:hAnsi="宋体" w:cs="宋体"/>
                <w:szCs w:val="21"/>
                <w:highlight w:val="none"/>
              </w:rPr>
              <w:t>分。</w:t>
            </w:r>
          </w:p>
        </w:tc>
        <w:tc>
          <w:tcPr>
            <w:tcW w:w="725" w:type="dxa"/>
            <w:tcBorders>
              <w:top w:val="single" w:color="auto" w:sz="4" w:space="0"/>
              <w:left w:val="nil"/>
              <w:bottom w:val="single" w:color="auto" w:sz="4" w:space="0"/>
              <w:right w:val="single" w:color="auto" w:sz="4" w:space="0"/>
            </w:tcBorders>
            <w:noWrap w:val="0"/>
            <w:vAlign w:val="center"/>
          </w:tcPr>
          <w:p w14:paraId="74B6985C">
            <w:pPr>
              <w:keepNext w:val="0"/>
              <w:keepLines w:val="0"/>
              <w:pageBreakBefore w:val="0"/>
              <w:kinsoku/>
              <w:wordWrap/>
              <w:overflowPunct/>
              <w:topLinePunct w:val="0"/>
              <w:autoSpaceDE/>
              <w:autoSpaceDN/>
              <w:bidi w:val="0"/>
              <w:adjustRightInd/>
              <w:snapToGrid/>
              <w:spacing w:line="240" w:lineRule="auto"/>
              <w:ind w:firstLine="420" w:firstLineChars="200"/>
              <w:jc w:val="left"/>
              <w:textAlignment w:val="auto"/>
              <w:rPr>
                <w:rFonts w:ascii="宋体" w:hAnsi="宋体" w:cs="宋体"/>
                <w:szCs w:val="21"/>
                <w:highlight w:val="none"/>
              </w:rPr>
            </w:pPr>
          </w:p>
        </w:tc>
        <w:tc>
          <w:tcPr>
            <w:tcW w:w="2034" w:type="dxa"/>
            <w:tcBorders>
              <w:top w:val="single" w:color="auto" w:sz="4" w:space="0"/>
              <w:left w:val="nil"/>
              <w:bottom w:val="single" w:color="auto" w:sz="4" w:space="0"/>
              <w:right w:val="single" w:color="auto" w:sz="4" w:space="0"/>
            </w:tcBorders>
            <w:noWrap w:val="0"/>
            <w:vAlign w:val="center"/>
          </w:tcPr>
          <w:p w14:paraId="75DD6FD4">
            <w:pPr>
              <w:keepNext w:val="0"/>
              <w:keepLines w:val="0"/>
              <w:pageBreakBefore w:val="0"/>
              <w:kinsoku/>
              <w:wordWrap/>
              <w:overflowPunct/>
              <w:topLinePunct w:val="0"/>
              <w:autoSpaceDE/>
              <w:autoSpaceDN/>
              <w:bidi w:val="0"/>
              <w:adjustRightInd/>
              <w:snapToGrid/>
              <w:spacing w:line="240" w:lineRule="auto"/>
              <w:ind w:firstLine="420" w:firstLineChars="200"/>
              <w:jc w:val="left"/>
              <w:textAlignment w:val="auto"/>
              <w:rPr>
                <w:rFonts w:ascii="宋体" w:hAnsi="宋体" w:cs="宋体"/>
                <w:szCs w:val="21"/>
                <w:highlight w:val="none"/>
              </w:rPr>
            </w:pPr>
          </w:p>
        </w:tc>
      </w:tr>
      <w:tr w14:paraId="4F056CAE">
        <w:tblPrEx>
          <w:tblCellMar>
            <w:top w:w="0" w:type="dxa"/>
            <w:left w:w="108" w:type="dxa"/>
            <w:bottom w:w="0" w:type="dxa"/>
            <w:right w:w="108" w:type="dxa"/>
          </w:tblCellMar>
        </w:tblPrEx>
        <w:trPr>
          <w:trHeight w:val="642" w:hRule="atLeast"/>
          <w:jc w:val="center"/>
        </w:trPr>
        <w:tc>
          <w:tcPr>
            <w:tcW w:w="1108" w:type="dxa"/>
            <w:vMerge w:val="continue"/>
            <w:tcBorders>
              <w:top w:val="single" w:color="auto" w:sz="4" w:space="0"/>
              <w:left w:val="single" w:color="auto" w:sz="4" w:space="0"/>
              <w:bottom w:val="single" w:color="auto" w:sz="4" w:space="0"/>
              <w:right w:val="single" w:color="auto" w:sz="4" w:space="0"/>
            </w:tcBorders>
            <w:noWrap w:val="0"/>
            <w:vAlign w:val="center"/>
          </w:tcPr>
          <w:p w14:paraId="24A5F078">
            <w:pPr>
              <w:keepNext w:val="0"/>
              <w:keepLines w:val="0"/>
              <w:pageBreakBefore w:val="0"/>
              <w:kinsoku/>
              <w:wordWrap/>
              <w:overflowPunct/>
              <w:topLinePunct w:val="0"/>
              <w:autoSpaceDE/>
              <w:autoSpaceDN/>
              <w:bidi w:val="0"/>
              <w:adjustRightInd/>
              <w:snapToGrid/>
              <w:spacing w:line="240" w:lineRule="auto"/>
              <w:ind w:firstLine="420" w:firstLineChars="200"/>
              <w:jc w:val="both"/>
              <w:textAlignment w:val="auto"/>
              <w:rPr>
                <w:rFonts w:ascii="宋体" w:hAnsi="宋体" w:cs="宋体"/>
                <w:szCs w:val="21"/>
                <w:highlight w:val="none"/>
              </w:rPr>
            </w:pPr>
          </w:p>
        </w:tc>
        <w:tc>
          <w:tcPr>
            <w:tcW w:w="2949" w:type="dxa"/>
            <w:tcBorders>
              <w:top w:val="single" w:color="auto" w:sz="4" w:space="0"/>
              <w:left w:val="nil"/>
              <w:bottom w:val="single" w:color="auto" w:sz="4" w:space="0"/>
              <w:right w:val="single" w:color="auto" w:sz="4" w:space="0"/>
            </w:tcBorders>
            <w:noWrap w:val="0"/>
            <w:vAlign w:val="center"/>
          </w:tcPr>
          <w:p w14:paraId="67FCEE33">
            <w:pPr>
              <w:keepNext w:val="0"/>
              <w:keepLines w:val="0"/>
              <w:pageBreakBefore w:val="0"/>
              <w:kinsoku/>
              <w:wordWrap/>
              <w:overflowPunct/>
              <w:topLinePunct w:val="0"/>
              <w:autoSpaceDE/>
              <w:autoSpaceDN/>
              <w:bidi w:val="0"/>
              <w:adjustRightInd/>
              <w:snapToGrid/>
              <w:spacing w:line="240" w:lineRule="auto"/>
              <w:jc w:val="left"/>
              <w:textAlignment w:val="auto"/>
              <w:rPr>
                <w:rFonts w:ascii="宋体" w:hAnsi="宋体" w:cs="宋体"/>
                <w:szCs w:val="21"/>
                <w:highlight w:val="none"/>
              </w:rPr>
            </w:pPr>
            <w:r>
              <w:rPr>
                <w:rFonts w:ascii="宋体" w:hAnsi="宋体" w:cs="宋体"/>
                <w:szCs w:val="21"/>
                <w:highlight w:val="none"/>
              </w:rPr>
              <w:t>2、植物垃圾处理</w:t>
            </w:r>
          </w:p>
          <w:p w14:paraId="7BC57D3F">
            <w:pPr>
              <w:keepNext w:val="0"/>
              <w:keepLines w:val="0"/>
              <w:pageBreakBefore w:val="0"/>
              <w:kinsoku/>
              <w:wordWrap/>
              <w:overflowPunct/>
              <w:topLinePunct w:val="0"/>
              <w:autoSpaceDE/>
              <w:autoSpaceDN/>
              <w:bidi w:val="0"/>
              <w:adjustRightInd/>
              <w:snapToGrid/>
              <w:spacing w:line="240" w:lineRule="auto"/>
              <w:jc w:val="left"/>
              <w:textAlignment w:val="auto"/>
              <w:rPr>
                <w:rFonts w:ascii="宋体" w:hAnsi="宋体" w:cs="宋体"/>
                <w:szCs w:val="21"/>
                <w:highlight w:val="none"/>
              </w:rPr>
            </w:pPr>
            <w:r>
              <w:rPr>
                <w:rFonts w:ascii="宋体" w:hAnsi="宋体" w:cs="宋体"/>
                <w:szCs w:val="21"/>
                <w:highlight w:val="none"/>
              </w:rPr>
              <w:t>（1）</w:t>
            </w:r>
            <w:r>
              <w:rPr>
                <w:rFonts w:hint="eastAsia" w:ascii="宋体" w:hAnsi="宋体" w:cs="宋体"/>
                <w:szCs w:val="21"/>
                <w:highlight w:val="none"/>
              </w:rPr>
              <w:t>废弃物（如树枝、树叶、草屑等），重点地区随产随清，其它地区日产日清；</w:t>
            </w:r>
          </w:p>
          <w:p w14:paraId="7B2CB9E6">
            <w:pPr>
              <w:keepNext w:val="0"/>
              <w:keepLines w:val="0"/>
              <w:pageBreakBefore w:val="0"/>
              <w:kinsoku/>
              <w:wordWrap/>
              <w:overflowPunct/>
              <w:topLinePunct w:val="0"/>
              <w:autoSpaceDE/>
              <w:autoSpaceDN/>
              <w:bidi w:val="0"/>
              <w:adjustRightInd/>
              <w:snapToGrid/>
              <w:spacing w:line="240" w:lineRule="auto"/>
              <w:jc w:val="left"/>
              <w:textAlignment w:val="auto"/>
              <w:rPr>
                <w:rFonts w:ascii="宋体" w:hAnsi="宋体" w:cs="宋体"/>
                <w:szCs w:val="21"/>
                <w:highlight w:val="none"/>
              </w:rPr>
            </w:pPr>
            <w:r>
              <w:rPr>
                <w:rFonts w:ascii="宋体" w:hAnsi="宋体" w:cs="宋体"/>
                <w:szCs w:val="21"/>
                <w:highlight w:val="none"/>
              </w:rPr>
              <w:t>（2）</w:t>
            </w:r>
            <w:r>
              <w:rPr>
                <w:rFonts w:hint="eastAsia" w:ascii="宋体" w:hAnsi="宋体" w:cs="宋体"/>
                <w:szCs w:val="21"/>
                <w:highlight w:val="none"/>
              </w:rPr>
              <w:t>叶面无蒙尘及粘滞物。</w:t>
            </w:r>
          </w:p>
        </w:tc>
        <w:tc>
          <w:tcPr>
            <w:tcW w:w="3084" w:type="dxa"/>
            <w:tcBorders>
              <w:top w:val="single" w:color="auto" w:sz="4" w:space="0"/>
              <w:left w:val="nil"/>
              <w:bottom w:val="single" w:color="auto" w:sz="4" w:space="0"/>
              <w:right w:val="single" w:color="auto" w:sz="4" w:space="0"/>
            </w:tcBorders>
            <w:noWrap w:val="0"/>
            <w:vAlign w:val="center"/>
          </w:tcPr>
          <w:p w14:paraId="7A95D2F8">
            <w:pPr>
              <w:keepNext w:val="0"/>
              <w:keepLines w:val="0"/>
              <w:pageBreakBefore w:val="0"/>
              <w:kinsoku/>
              <w:wordWrap/>
              <w:overflowPunct/>
              <w:topLinePunct w:val="0"/>
              <w:autoSpaceDE/>
              <w:autoSpaceDN/>
              <w:bidi w:val="0"/>
              <w:adjustRightInd/>
              <w:snapToGrid/>
              <w:spacing w:line="240" w:lineRule="auto"/>
              <w:jc w:val="left"/>
              <w:textAlignment w:val="auto"/>
              <w:rPr>
                <w:rFonts w:ascii="宋体" w:hAnsi="宋体" w:cs="宋体"/>
                <w:szCs w:val="21"/>
                <w:highlight w:val="none"/>
              </w:rPr>
            </w:pPr>
            <w:r>
              <w:rPr>
                <w:rFonts w:ascii="宋体" w:hAnsi="宋体" w:cs="宋体"/>
                <w:szCs w:val="21"/>
                <w:highlight w:val="none"/>
              </w:rPr>
              <w:t>（1）</w:t>
            </w:r>
            <w:r>
              <w:rPr>
                <w:rFonts w:hint="eastAsia" w:ascii="宋体" w:hAnsi="宋体" w:cs="宋体"/>
                <w:szCs w:val="21"/>
                <w:highlight w:val="none"/>
              </w:rPr>
              <w:t>检查植物垃圾处理情况，对垃圾收集和处理不及时的，发现一处扣0.5分。</w:t>
            </w:r>
          </w:p>
          <w:p w14:paraId="7B877822">
            <w:pPr>
              <w:keepNext w:val="0"/>
              <w:keepLines w:val="0"/>
              <w:pageBreakBefore w:val="0"/>
              <w:kinsoku/>
              <w:wordWrap/>
              <w:overflowPunct/>
              <w:topLinePunct w:val="0"/>
              <w:autoSpaceDE/>
              <w:autoSpaceDN/>
              <w:bidi w:val="0"/>
              <w:adjustRightInd/>
              <w:snapToGrid/>
              <w:spacing w:line="240" w:lineRule="auto"/>
              <w:jc w:val="left"/>
              <w:textAlignment w:val="auto"/>
              <w:rPr>
                <w:rFonts w:ascii="宋体" w:hAnsi="宋体" w:cs="宋体"/>
                <w:szCs w:val="21"/>
                <w:highlight w:val="none"/>
              </w:rPr>
            </w:pPr>
            <w:r>
              <w:rPr>
                <w:rFonts w:hint="eastAsia" w:ascii="宋体" w:hAnsi="宋体" w:cs="宋体"/>
                <w:szCs w:val="21"/>
                <w:highlight w:val="none"/>
              </w:rPr>
              <w:t>（2）叶面蒙尘或粘滞物不及时清除，每发现一处，扣0.5分。</w:t>
            </w:r>
          </w:p>
        </w:tc>
        <w:tc>
          <w:tcPr>
            <w:tcW w:w="725" w:type="dxa"/>
            <w:tcBorders>
              <w:top w:val="single" w:color="auto" w:sz="4" w:space="0"/>
              <w:left w:val="nil"/>
              <w:bottom w:val="single" w:color="auto" w:sz="4" w:space="0"/>
              <w:right w:val="single" w:color="auto" w:sz="4" w:space="0"/>
            </w:tcBorders>
            <w:noWrap w:val="0"/>
            <w:vAlign w:val="center"/>
          </w:tcPr>
          <w:p w14:paraId="3DA84FBB">
            <w:pPr>
              <w:keepNext w:val="0"/>
              <w:keepLines w:val="0"/>
              <w:pageBreakBefore w:val="0"/>
              <w:kinsoku/>
              <w:wordWrap/>
              <w:overflowPunct/>
              <w:topLinePunct w:val="0"/>
              <w:autoSpaceDE/>
              <w:autoSpaceDN/>
              <w:bidi w:val="0"/>
              <w:adjustRightInd/>
              <w:snapToGrid/>
              <w:spacing w:line="240" w:lineRule="auto"/>
              <w:ind w:firstLine="420" w:firstLineChars="200"/>
              <w:jc w:val="left"/>
              <w:textAlignment w:val="auto"/>
              <w:rPr>
                <w:rFonts w:ascii="宋体" w:hAnsi="宋体" w:cs="宋体"/>
                <w:szCs w:val="21"/>
                <w:highlight w:val="none"/>
              </w:rPr>
            </w:pPr>
          </w:p>
        </w:tc>
        <w:tc>
          <w:tcPr>
            <w:tcW w:w="2034" w:type="dxa"/>
            <w:tcBorders>
              <w:top w:val="single" w:color="auto" w:sz="4" w:space="0"/>
              <w:left w:val="nil"/>
              <w:bottom w:val="single" w:color="auto" w:sz="4" w:space="0"/>
              <w:right w:val="single" w:color="auto" w:sz="4" w:space="0"/>
            </w:tcBorders>
            <w:noWrap w:val="0"/>
            <w:vAlign w:val="center"/>
          </w:tcPr>
          <w:p w14:paraId="259AE996">
            <w:pPr>
              <w:keepNext w:val="0"/>
              <w:keepLines w:val="0"/>
              <w:pageBreakBefore w:val="0"/>
              <w:kinsoku/>
              <w:wordWrap/>
              <w:overflowPunct/>
              <w:topLinePunct w:val="0"/>
              <w:autoSpaceDE/>
              <w:autoSpaceDN/>
              <w:bidi w:val="0"/>
              <w:adjustRightInd/>
              <w:snapToGrid/>
              <w:spacing w:line="240" w:lineRule="auto"/>
              <w:ind w:firstLine="420" w:firstLineChars="200"/>
              <w:jc w:val="left"/>
              <w:textAlignment w:val="auto"/>
              <w:rPr>
                <w:rFonts w:ascii="宋体" w:hAnsi="宋体" w:cs="宋体"/>
                <w:szCs w:val="21"/>
                <w:highlight w:val="none"/>
              </w:rPr>
            </w:pPr>
          </w:p>
        </w:tc>
      </w:tr>
      <w:tr w14:paraId="64164733">
        <w:tblPrEx>
          <w:tblCellMar>
            <w:top w:w="0" w:type="dxa"/>
            <w:left w:w="108" w:type="dxa"/>
            <w:bottom w:w="0" w:type="dxa"/>
            <w:right w:w="108" w:type="dxa"/>
          </w:tblCellMar>
        </w:tblPrEx>
        <w:trPr>
          <w:trHeight w:val="642" w:hRule="atLeast"/>
          <w:jc w:val="center"/>
        </w:trPr>
        <w:tc>
          <w:tcPr>
            <w:tcW w:w="1108" w:type="dxa"/>
            <w:vMerge w:val="continue"/>
            <w:tcBorders>
              <w:top w:val="single" w:color="auto" w:sz="4" w:space="0"/>
              <w:left w:val="single" w:color="auto" w:sz="4" w:space="0"/>
              <w:right w:val="single" w:color="auto" w:sz="4" w:space="0"/>
            </w:tcBorders>
            <w:noWrap w:val="0"/>
            <w:vAlign w:val="center"/>
          </w:tcPr>
          <w:p w14:paraId="31EAAACD">
            <w:pPr>
              <w:keepNext w:val="0"/>
              <w:keepLines w:val="0"/>
              <w:pageBreakBefore w:val="0"/>
              <w:kinsoku/>
              <w:wordWrap/>
              <w:overflowPunct/>
              <w:topLinePunct w:val="0"/>
              <w:autoSpaceDE/>
              <w:autoSpaceDN/>
              <w:bidi w:val="0"/>
              <w:adjustRightInd/>
              <w:snapToGrid/>
              <w:spacing w:line="240" w:lineRule="auto"/>
              <w:ind w:firstLine="420" w:firstLineChars="200"/>
              <w:jc w:val="both"/>
              <w:textAlignment w:val="auto"/>
              <w:rPr>
                <w:rFonts w:ascii="宋体" w:hAnsi="宋体" w:cs="宋体"/>
                <w:szCs w:val="21"/>
                <w:highlight w:val="none"/>
              </w:rPr>
            </w:pPr>
          </w:p>
        </w:tc>
        <w:tc>
          <w:tcPr>
            <w:tcW w:w="2949" w:type="dxa"/>
            <w:tcBorders>
              <w:top w:val="single" w:color="auto" w:sz="4" w:space="0"/>
              <w:left w:val="nil"/>
              <w:bottom w:val="single" w:color="auto" w:sz="4" w:space="0"/>
              <w:right w:val="single" w:color="auto" w:sz="4" w:space="0"/>
            </w:tcBorders>
            <w:noWrap w:val="0"/>
            <w:vAlign w:val="center"/>
          </w:tcPr>
          <w:p w14:paraId="516FB142">
            <w:pPr>
              <w:keepNext w:val="0"/>
              <w:keepLines w:val="0"/>
              <w:pageBreakBefore w:val="0"/>
              <w:kinsoku/>
              <w:wordWrap/>
              <w:overflowPunct/>
              <w:topLinePunct w:val="0"/>
              <w:autoSpaceDE/>
              <w:autoSpaceDN/>
              <w:bidi w:val="0"/>
              <w:adjustRightInd/>
              <w:snapToGrid/>
              <w:spacing w:line="240" w:lineRule="auto"/>
              <w:jc w:val="left"/>
              <w:textAlignment w:val="auto"/>
              <w:rPr>
                <w:rFonts w:ascii="宋体" w:hAnsi="宋体" w:cs="宋体"/>
                <w:szCs w:val="21"/>
                <w:highlight w:val="none"/>
              </w:rPr>
            </w:pPr>
            <w:r>
              <w:rPr>
                <w:rFonts w:ascii="宋体" w:hAnsi="宋体" w:cs="宋体"/>
                <w:szCs w:val="21"/>
                <w:highlight w:val="none"/>
              </w:rPr>
              <w:t>3、</w:t>
            </w:r>
            <w:r>
              <w:rPr>
                <w:rFonts w:hint="eastAsia" w:ascii="宋体" w:hAnsi="宋体" w:cs="宋体"/>
                <w:szCs w:val="21"/>
                <w:highlight w:val="none"/>
              </w:rPr>
              <w:t>做好日</w:t>
            </w:r>
            <w:r>
              <w:rPr>
                <w:rFonts w:ascii="宋体" w:hAnsi="宋体" w:cs="宋体"/>
                <w:szCs w:val="21"/>
                <w:highlight w:val="none"/>
              </w:rPr>
              <w:t>常保洁</w:t>
            </w:r>
            <w:r>
              <w:rPr>
                <w:rFonts w:hint="eastAsia" w:ascii="宋体" w:hAnsi="宋体" w:cs="宋体"/>
                <w:szCs w:val="21"/>
                <w:highlight w:val="none"/>
              </w:rPr>
              <w:t>，做到</w:t>
            </w:r>
            <w:r>
              <w:rPr>
                <w:rFonts w:ascii="宋体" w:hAnsi="宋体" w:cs="宋体"/>
                <w:szCs w:val="21"/>
                <w:highlight w:val="none"/>
              </w:rPr>
              <w:t>定员定岗</w:t>
            </w:r>
            <w:r>
              <w:rPr>
                <w:rFonts w:hint="eastAsia" w:ascii="宋体" w:hAnsi="宋体" w:cs="宋体"/>
                <w:szCs w:val="21"/>
                <w:highlight w:val="none"/>
              </w:rPr>
              <w:t>、</w:t>
            </w:r>
            <w:r>
              <w:rPr>
                <w:rFonts w:ascii="宋体" w:hAnsi="宋体" w:cs="宋体"/>
                <w:szCs w:val="21"/>
                <w:highlight w:val="none"/>
              </w:rPr>
              <w:t xml:space="preserve">着装上岗 </w:t>
            </w:r>
          </w:p>
        </w:tc>
        <w:tc>
          <w:tcPr>
            <w:tcW w:w="3084" w:type="dxa"/>
            <w:tcBorders>
              <w:top w:val="single" w:color="auto" w:sz="4" w:space="0"/>
              <w:left w:val="nil"/>
              <w:bottom w:val="single" w:color="auto" w:sz="4" w:space="0"/>
              <w:right w:val="single" w:color="auto" w:sz="4" w:space="0"/>
            </w:tcBorders>
            <w:noWrap w:val="0"/>
            <w:vAlign w:val="center"/>
          </w:tcPr>
          <w:p w14:paraId="3DCABA23">
            <w:pPr>
              <w:keepNext w:val="0"/>
              <w:keepLines w:val="0"/>
              <w:pageBreakBefore w:val="0"/>
              <w:kinsoku/>
              <w:wordWrap/>
              <w:overflowPunct/>
              <w:topLinePunct w:val="0"/>
              <w:autoSpaceDE/>
              <w:autoSpaceDN/>
              <w:bidi w:val="0"/>
              <w:adjustRightInd/>
              <w:snapToGrid/>
              <w:spacing w:line="240" w:lineRule="auto"/>
              <w:jc w:val="left"/>
              <w:textAlignment w:val="auto"/>
              <w:rPr>
                <w:rFonts w:ascii="宋体" w:hAnsi="宋体" w:cs="宋体"/>
                <w:szCs w:val="21"/>
                <w:highlight w:val="none"/>
              </w:rPr>
            </w:pPr>
            <w:r>
              <w:rPr>
                <w:rFonts w:hint="eastAsia" w:ascii="宋体" w:hAnsi="宋体" w:cs="宋体"/>
                <w:szCs w:val="21"/>
                <w:highlight w:val="none"/>
              </w:rPr>
              <w:t>安排养护工人进行日常保洁，着装上岗。如发现缺勤、不在岗的，每次扣1分。</w:t>
            </w:r>
          </w:p>
        </w:tc>
        <w:tc>
          <w:tcPr>
            <w:tcW w:w="725" w:type="dxa"/>
            <w:tcBorders>
              <w:top w:val="single" w:color="auto" w:sz="4" w:space="0"/>
              <w:left w:val="nil"/>
              <w:bottom w:val="single" w:color="auto" w:sz="4" w:space="0"/>
              <w:right w:val="single" w:color="auto" w:sz="4" w:space="0"/>
            </w:tcBorders>
            <w:noWrap w:val="0"/>
            <w:vAlign w:val="center"/>
          </w:tcPr>
          <w:p w14:paraId="2431BB3C">
            <w:pPr>
              <w:keepNext w:val="0"/>
              <w:keepLines w:val="0"/>
              <w:pageBreakBefore w:val="0"/>
              <w:kinsoku/>
              <w:wordWrap/>
              <w:overflowPunct/>
              <w:topLinePunct w:val="0"/>
              <w:autoSpaceDE/>
              <w:autoSpaceDN/>
              <w:bidi w:val="0"/>
              <w:adjustRightInd/>
              <w:snapToGrid/>
              <w:spacing w:line="240" w:lineRule="auto"/>
              <w:ind w:firstLine="420" w:firstLineChars="200"/>
              <w:jc w:val="left"/>
              <w:textAlignment w:val="auto"/>
              <w:rPr>
                <w:rFonts w:ascii="宋体" w:hAnsi="宋体" w:cs="宋体"/>
                <w:szCs w:val="21"/>
                <w:highlight w:val="none"/>
              </w:rPr>
            </w:pPr>
          </w:p>
        </w:tc>
        <w:tc>
          <w:tcPr>
            <w:tcW w:w="2034" w:type="dxa"/>
            <w:tcBorders>
              <w:top w:val="single" w:color="auto" w:sz="4" w:space="0"/>
              <w:left w:val="nil"/>
              <w:bottom w:val="single" w:color="auto" w:sz="4" w:space="0"/>
              <w:right w:val="single" w:color="auto" w:sz="4" w:space="0"/>
            </w:tcBorders>
            <w:noWrap w:val="0"/>
            <w:vAlign w:val="center"/>
          </w:tcPr>
          <w:p w14:paraId="33E834C6">
            <w:pPr>
              <w:keepNext w:val="0"/>
              <w:keepLines w:val="0"/>
              <w:pageBreakBefore w:val="0"/>
              <w:kinsoku/>
              <w:wordWrap/>
              <w:overflowPunct/>
              <w:topLinePunct w:val="0"/>
              <w:autoSpaceDE/>
              <w:autoSpaceDN/>
              <w:bidi w:val="0"/>
              <w:adjustRightInd/>
              <w:snapToGrid/>
              <w:spacing w:line="240" w:lineRule="auto"/>
              <w:ind w:firstLine="420" w:firstLineChars="200"/>
              <w:jc w:val="left"/>
              <w:textAlignment w:val="auto"/>
              <w:rPr>
                <w:rFonts w:ascii="宋体" w:hAnsi="宋体" w:cs="宋体"/>
                <w:szCs w:val="21"/>
                <w:highlight w:val="none"/>
              </w:rPr>
            </w:pPr>
          </w:p>
        </w:tc>
      </w:tr>
      <w:tr w14:paraId="70E1B61C">
        <w:tblPrEx>
          <w:tblCellMar>
            <w:top w:w="0" w:type="dxa"/>
            <w:left w:w="108" w:type="dxa"/>
            <w:bottom w:w="0" w:type="dxa"/>
            <w:right w:w="108" w:type="dxa"/>
          </w:tblCellMar>
        </w:tblPrEx>
        <w:trPr>
          <w:trHeight w:val="451" w:hRule="atLeast"/>
          <w:jc w:val="center"/>
        </w:trPr>
        <w:tc>
          <w:tcPr>
            <w:tcW w:w="1108" w:type="dxa"/>
            <w:vMerge w:val="restart"/>
            <w:tcBorders>
              <w:top w:val="single" w:color="auto" w:sz="4" w:space="0"/>
              <w:left w:val="single" w:color="auto" w:sz="4" w:space="0"/>
              <w:right w:val="single" w:color="auto" w:sz="4" w:space="0"/>
            </w:tcBorders>
            <w:noWrap w:val="0"/>
            <w:vAlign w:val="center"/>
          </w:tcPr>
          <w:p w14:paraId="306ED5FE">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cs="宋体"/>
                <w:szCs w:val="21"/>
                <w:highlight w:val="none"/>
              </w:rPr>
            </w:pPr>
            <w:r>
              <w:rPr>
                <w:rFonts w:hint="eastAsia" w:ascii="宋体" w:hAnsi="宋体" w:cs="宋体"/>
                <w:szCs w:val="21"/>
                <w:highlight w:val="none"/>
              </w:rPr>
              <w:t>绿地保护及设施维护（10分）</w:t>
            </w:r>
          </w:p>
        </w:tc>
        <w:tc>
          <w:tcPr>
            <w:tcW w:w="2949" w:type="dxa"/>
            <w:vMerge w:val="restart"/>
            <w:tcBorders>
              <w:top w:val="single" w:color="auto" w:sz="4" w:space="0"/>
              <w:left w:val="nil"/>
              <w:right w:val="single" w:color="auto" w:sz="4" w:space="0"/>
            </w:tcBorders>
            <w:noWrap w:val="0"/>
            <w:vAlign w:val="center"/>
          </w:tcPr>
          <w:p w14:paraId="46EEF17C">
            <w:pPr>
              <w:keepNext w:val="0"/>
              <w:keepLines w:val="0"/>
              <w:pageBreakBefore w:val="0"/>
              <w:kinsoku/>
              <w:wordWrap/>
              <w:overflowPunct/>
              <w:topLinePunct w:val="0"/>
              <w:autoSpaceDE/>
              <w:autoSpaceDN/>
              <w:bidi w:val="0"/>
              <w:adjustRightInd/>
              <w:snapToGrid/>
              <w:spacing w:line="240" w:lineRule="auto"/>
              <w:jc w:val="left"/>
              <w:textAlignment w:val="auto"/>
              <w:rPr>
                <w:rFonts w:ascii="宋体" w:hAnsi="宋体" w:cs="宋体"/>
                <w:szCs w:val="21"/>
                <w:highlight w:val="none"/>
              </w:rPr>
            </w:pPr>
            <w:r>
              <w:rPr>
                <w:rFonts w:hint="eastAsia" w:ascii="宋体" w:hAnsi="宋体" w:cs="宋体"/>
                <w:szCs w:val="21"/>
                <w:highlight w:val="none"/>
              </w:rPr>
              <w:t>1、绿地中无堆物、堆料、搭棚，建筑墙面和树干上无钉拴刻画等现象；</w:t>
            </w:r>
          </w:p>
          <w:p w14:paraId="5A576B49">
            <w:pPr>
              <w:keepNext w:val="0"/>
              <w:keepLines w:val="0"/>
              <w:pageBreakBefore w:val="0"/>
              <w:kinsoku/>
              <w:wordWrap/>
              <w:overflowPunct/>
              <w:topLinePunct w:val="0"/>
              <w:autoSpaceDE/>
              <w:autoSpaceDN/>
              <w:bidi w:val="0"/>
              <w:adjustRightInd/>
              <w:snapToGrid/>
              <w:spacing w:line="240" w:lineRule="auto"/>
              <w:jc w:val="left"/>
              <w:textAlignment w:val="auto"/>
              <w:rPr>
                <w:rFonts w:ascii="宋体" w:hAnsi="宋体" w:cs="宋体"/>
                <w:szCs w:val="21"/>
                <w:highlight w:val="none"/>
              </w:rPr>
            </w:pPr>
            <w:r>
              <w:rPr>
                <w:rFonts w:hint="eastAsia" w:ascii="宋体" w:hAnsi="宋体" w:cs="宋体"/>
                <w:szCs w:val="21"/>
                <w:highlight w:val="none"/>
              </w:rPr>
              <w:t>2、路面、设施维护良好；</w:t>
            </w:r>
          </w:p>
          <w:p w14:paraId="47CC1B33">
            <w:pPr>
              <w:keepNext w:val="0"/>
              <w:keepLines w:val="0"/>
              <w:pageBreakBefore w:val="0"/>
              <w:kinsoku/>
              <w:wordWrap/>
              <w:overflowPunct/>
              <w:topLinePunct w:val="0"/>
              <w:autoSpaceDE/>
              <w:autoSpaceDN/>
              <w:bidi w:val="0"/>
              <w:adjustRightInd/>
              <w:snapToGrid/>
              <w:spacing w:line="240" w:lineRule="auto"/>
              <w:jc w:val="left"/>
              <w:textAlignment w:val="auto"/>
              <w:rPr>
                <w:rFonts w:ascii="宋体" w:hAnsi="宋体" w:cs="宋体"/>
                <w:szCs w:val="21"/>
                <w:highlight w:val="none"/>
              </w:rPr>
            </w:pPr>
            <w:r>
              <w:rPr>
                <w:rFonts w:hint="eastAsia" w:ascii="宋体" w:hAnsi="宋体" w:cs="宋体"/>
                <w:szCs w:val="21"/>
                <w:highlight w:val="none"/>
              </w:rPr>
              <w:t>3、绿地无重大破坏和偷盗案件。</w:t>
            </w:r>
          </w:p>
        </w:tc>
        <w:tc>
          <w:tcPr>
            <w:tcW w:w="3084" w:type="dxa"/>
            <w:tcBorders>
              <w:top w:val="single" w:color="auto" w:sz="4" w:space="0"/>
              <w:left w:val="nil"/>
              <w:bottom w:val="single" w:color="auto" w:sz="4" w:space="0"/>
              <w:right w:val="single" w:color="auto" w:sz="4" w:space="0"/>
            </w:tcBorders>
            <w:noWrap w:val="0"/>
            <w:vAlign w:val="center"/>
          </w:tcPr>
          <w:p w14:paraId="5477D9A0">
            <w:pPr>
              <w:keepNext w:val="0"/>
              <w:keepLines w:val="0"/>
              <w:pageBreakBefore w:val="0"/>
              <w:kinsoku/>
              <w:wordWrap/>
              <w:overflowPunct/>
              <w:topLinePunct w:val="0"/>
              <w:autoSpaceDE/>
              <w:autoSpaceDN/>
              <w:bidi w:val="0"/>
              <w:adjustRightInd/>
              <w:snapToGrid/>
              <w:spacing w:line="240" w:lineRule="auto"/>
              <w:jc w:val="left"/>
              <w:textAlignment w:val="auto"/>
              <w:rPr>
                <w:rFonts w:ascii="宋体" w:hAnsi="宋体" w:cs="宋体"/>
                <w:szCs w:val="21"/>
                <w:highlight w:val="none"/>
              </w:rPr>
            </w:pPr>
            <w:r>
              <w:rPr>
                <w:rFonts w:hint="eastAsia" w:ascii="宋体" w:hAnsi="宋体" w:cs="宋体"/>
                <w:szCs w:val="21"/>
                <w:highlight w:val="none"/>
              </w:rPr>
              <w:t>（1）检查中发现违规现象，每处每次扣1分。</w:t>
            </w:r>
          </w:p>
        </w:tc>
        <w:tc>
          <w:tcPr>
            <w:tcW w:w="725" w:type="dxa"/>
            <w:tcBorders>
              <w:top w:val="single" w:color="auto" w:sz="4" w:space="0"/>
              <w:left w:val="nil"/>
              <w:bottom w:val="single" w:color="auto" w:sz="4" w:space="0"/>
              <w:right w:val="single" w:color="auto" w:sz="4" w:space="0"/>
            </w:tcBorders>
            <w:noWrap w:val="0"/>
            <w:vAlign w:val="center"/>
          </w:tcPr>
          <w:p w14:paraId="617629BA">
            <w:pPr>
              <w:keepNext w:val="0"/>
              <w:keepLines w:val="0"/>
              <w:pageBreakBefore w:val="0"/>
              <w:kinsoku/>
              <w:wordWrap/>
              <w:overflowPunct/>
              <w:topLinePunct w:val="0"/>
              <w:autoSpaceDE/>
              <w:autoSpaceDN/>
              <w:bidi w:val="0"/>
              <w:adjustRightInd/>
              <w:snapToGrid/>
              <w:spacing w:line="240" w:lineRule="auto"/>
              <w:ind w:firstLine="420" w:firstLineChars="200"/>
              <w:jc w:val="left"/>
              <w:textAlignment w:val="auto"/>
              <w:rPr>
                <w:rFonts w:ascii="宋体" w:hAnsi="宋体" w:cs="宋体"/>
                <w:szCs w:val="21"/>
                <w:highlight w:val="none"/>
              </w:rPr>
            </w:pPr>
          </w:p>
        </w:tc>
        <w:tc>
          <w:tcPr>
            <w:tcW w:w="2034" w:type="dxa"/>
            <w:tcBorders>
              <w:top w:val="single" w:color="auto" w:sz="4" w:space="0"/>
              <w:left w:val="nil"/>
              <w:bottom w:val="single" w:color="auto" w:sz="4" w:space="0"/>
              <w:right w:val="single" w:color="auto" w:sz="4" w:space="0"/>
            </w:tcBorders>
            <w:noWrap w:val="0"/>
            <w:vAlign w:val="center"/>
          </w:tcPr>
          <w:p w14:paraId="429388C4">
            <w:pPr>
              <w:keepNext w:val="0"/>
              <w:keepLines w:val="0"/>
              <w:pageBreakBefore w:val="0"/>
              <w:kinsoku/>
              <w:wordWrap/>
              <w:overflowPunct/>
              <w:topLinePunct w:val="0"/>
              <w:autoSpaceDE/>
              <w:autoSpaceDN/>
              <w:bidi w:val="0"/>
              <w:adjustRightInd/>
              <w:snapToGrid/>
              <w:spacing w:line="240" w:lineRule="auto"/>
              <w:ind w:firstLine="420" w:firstLineChars="200"/>
              <w:jc w:val="left"/>
              <w:textAlignment w:val="auto"/>
              <w:rPr>
                <w:rFonts w:ascii="宋体" w:hAnsi="宋体" w:cs="宋体"/>
                <w:szCs w:val="21"/>
                <w:highlight w:val="none"/>
              </w:rPr>
            </w:pPr>
          </w:p>
        </w:tc>
      </w:tr>
      <w:tr w14:paraId="0CE65659">
        <w:tblPrEx>
          <w:tblCellMar>
            <w:top w:w="0" w:type="dxa"/>
            <w:left w:w="108" w:type="dxa"/>
            <w:bottom w:w="0" w:type="dxa"/>
            <w:right w:w="108" w:type="dxa"/>
          </w:tblCellMar>
          <w:tblPrExChange w:id="1" w:author="gao" w:date="2010-11-14T22:15:00Z">
            <w:tblPrEx>
              <w:tblCellMar>
                <w:top w:w="0" w:type="dxa"/>
                <w:left w:w="108" w:type="dxa"/>
                <w:bottom w:w="0" w:type="dxa"/>
                <w:right w:w="108" w:type="dxa"/>
              </w:tblCellMar>
            </w:tblPrEx>
          </w:tblPrExChange>
        </w:tblPrEx>
        <w:trPr>
          <w:trHeight w:val="395" w:hRule="atLeast"/>
          <w:jc w:val="center"/>
          <w:trPrChange w:id="1" w:author="gao" w:date="2010-11-14T22:15:00Z">
            <w:trPr>
              <w:trHeight w:val="555" w:hRule="atLeast"/>
              <w:jc w:val="center"/>
            </w:trPr>
          </w:trPrChange>
        </w:trPr>
        <w:tc>
          <w:tcPr>
            <w:tcW w:w="1108" w:type="dxa"/>
            <w:vMerge w:val="continue"/>
            <w:tcBorders>
              <w:left w:val="single" w:color="auto" w:sz="4" w:space="0"/>
              <w:right w:val="single" w:color="auto" w:sz="4" w:space="0"/>
            </w:tcBorders>
            <w:noWrap w:val="0"/>
            <w:vAlign w:val="center"/>
            <w:tcPrChange w:id="2" w:author="gao" w:date="2010-11-14T22:15:00Z">
              <w:tcPr>
                <w:tcW w:w="900" w:type="dxa"/>
                <w:vMerge w:val="continue"/>
                <w:tcBorders>
                  <w:left w:val="single" w:color="auto" w:sz="4" w:space="0"/>
                  <w:right w:val="single" w:color="auto" w:sz="4" w:space="0"/>
                </w:tcBorders>
                <w:noWrap w:val="0"/>
                <w:vAlign w:val="center"/>
              </w:tcPr>
            </w:tcPrChange>
          </w:tcPr>
          <w:p w14:paraId="3744483C">
            <w:pPr>
              <w:keepNext w:val="0"/>
              <w:keepLines w:val="0"/>
              <w:pageBreakBefore w:val="0"/>
              <w:kinsoku/>
              <w:wordWrap/>
              <w:overflowPunct/>
              <w:topLinePunct w:val="0"/>
              <w:autoSpaceDE/>
              <w:autoSpaceDN/>
              <w:bidi w:val="0"/>
              <w:adjustRightInd/>
              <w:snapToGrid/>
              <w:spacing w:line="240" w:lineRule="auto"/>
              <w:ind w:firstLine="420" w:firstLineChars="200"/>
              <w:jc w:val="both"/>
              <w:textAlignment w:val="auto"/>
              <w:rPr>
                <w:rFonts w:ascii="宋体" w:hAnsi="宋体" w:cs="宋体"/>
                <w:szCs w:val="21"/>
                <w:highlight w:val="none"/>
              </w:rPr>
            </w:pPr>
          </w:p>
        </w:tc>
        <w:tc>
          <w:tcPr>
            <w:tcW w:w="2949" w:type="dxa"/>
            <w:vMerge w:val="continue"/>
            <w:tcBorders>
              <w:left w:val="nil"/>
              <w:right w:val="single" w:color="auto" w:sz="4" w:space="0"/>
            </w:tcBorders>
            <w:noWrap w:val="0"/>
            <w:vAlign w:val="center"/>
            <w:tcPrChange w:id="3" w:author="gao" w:date="2010-11-14T22:15:00Z">
              <w:tcPr>
                <w:tcW w:w="2880" w:type="dxa"/>
                <w:gridSpan w:val="2"/>
                <w:vMerge w:val="continue"/>
                <w:tcBorders>
                  <w:left w:val="nil"/>
                  <w:right w:val="single" w:color="auto" w:sz="4" w:space="0"/>
                </w:tcBorders>
                <w:noWrap w:val="0"/>
                <w:vAlign w:val="top"/>
              </w:tcPr>
            </w:tcPrChange>
          </w:tcPr>
          <w:p w14:paraId="07F905E3">
            <w:pPr>
              <w:keepNext w:val="0"/>
              <w:keepLines w:val="0"/>
              <w:pageBreakBefore w:val="0"/>
              <w:kinsoku/>
              <w:wordWrap/>
              <w:overflowPunct/>
              <w:topLinePunct w:val="0"/>
              <w:autoSpaceDE/>
              <w:autoSpaceDN/>
              <w:bidi w:val="0"/>
              <w:adjustRightInd/>
              <w:snapToGrid/>
              <w:spacing w:line="240" w:lineRule="auto"/>
              <w:ind w:firstLine="420" w:firstLineChars="200"/>
              <w:jc w:val="left"/>
              <w:textAlignment w:val="auto"/>
              <w:rPr>
                <w:rFonts w:ascii="宋体" w:hAnsi="宋体" w:cs="宋体"/>
                <w:szCs w:val="21"/>
                <w:highlight w:val="none"/>
              </w:rPr>
            </w:pPr>
          </w:p>
        </w:tc>
        <w:tc>
          <w:tcPr>
            <w:tcW w:w="3084" w:type="dxa"/>
            <w:tcBorders>
              <w:top w:val="single" w:color="auto" w:sz="4" w:space="0"/>
              <w:left w:val="nil"/>
              <w:bottom w:val="single" w:color="auto" w:sz="4" w:space="0"/>
              <w:right w:val="single" w:color="auto" w:sz="4" w:space="0"/>
            </w:tcBorders>
            <w:noWrap w:val="0"/>
            <w:vAlign w:val="center"/>
            <w:tcPrChange w:id="4" w:author="gao" w:date="2010-11-14T22:15:00Z">
              <w:tcPr>
                <w:tcW w:w="3060" w:type="dxa"/>
                <w:gridSpan w:val="2"/>
                <w:tcBorders>
                  <w:top w:val="single" w:color="auto" w:sz="4" w:space="0"/>
                  <w:left w:val="nil"/>
                  <w:bottom w:val="single" w:color="auto" w:sz="4" w:space="0"/>
                  <w:right w:val="single" w:color="auto" w:sz="4" w:space="0"/>
                </w:tcBorders>
                <w:noWrap w:val="0"/>
                <w:vAlign w:val="top"/>
              </w:tcPr>
            </w:tcPrChange>
          </w:tcPr>
          <w:p w14:paraId="3FF41A4C">
            <w:pPr>
              <w:keepNext w:val="0"/>
              <w:keepLines w:val="0"/>
              <w:pageBreakBefore w:val="0"/>
              <w:kinsoku/>
              <w:wordWrap/>
              <w:overflowPunct/>
              <w:topLinePunct w:val="0"/>
              <w:autoSpaceDE/>
              <w:autoSpaceDN/>
              <w:bidi w:val="0"/>
              <w:adjustRightInd/>
              <w:snapToGrid/>
              <w:spacing w:line="240" w:lineRule="auto"/>
              <w:jc w:val="left"/>
              <w:textAlignment w:val="auto"/>
              <w:rPr>
                <w:rFonts w:ascii="宋体" w:hAnsi="宋体" w:cs="宋体"/>
                <w:szCs w:val="21"/>
                <w:highlight w:val="none"/>
              </w:rPr>
            </w:pPr>
            <w:r>
              <w:rPr>
                <w:rFonts w:hint="eastAsia" w:ascii="宋体" w:hAnsi="宋体" w:cs="宋体"/>
                <w:szCs w:val="21"/>
                <w:highlight w:val="none"/>
              </w:rPr>
              <w:t>（2）路面、设施有破损，发现一处扣2分。</w:t>
            </w:r>
          </w:p>
        </w:tc>
        <w:tc>
          <w:tcPr>
            <w:tcW w:w="725" w:type="dxa"/>
            <w:tcBorders>
              <w:top w:val="single" w:color="auto" w:sz="4" w:space="0"/>
              <w:left w:val="nil"/>
              <w:bottom w:val="single" w:color="auto" w:sz="4" w:space="0"/>
              <w:right w:val="single" w:color="auto" w:sz="4" w:space="0"/>
            </w:tcBorders>
            <w:noWrap w:val="0"/>
            <w:vAlign w:val="center"/>
            <w:tcPrChange w:id="5" w:author="gao" w:date="2010-11-14T22:15:00Z">
              <w:tcPr>
                <w:tcW w:w="720" w:type="dxa"/>
                <w:gridSpan w:val="2"/>
                <w:tcBorders>
                  <w:top w:val="single" w:color="auto" w:sz="4" w:space="0"/>
                  <w:left w:val="nil"/>
                  <w:bottom w:val="single" w:color="auto" w:sz="4" w:space="0"/>
                  <w:right w:val="single" w:color="auto" w:sz="4" w:space="0"/>
                </w:tcBorders>
                <w:noWrap w:val="0"/>
                <w:vAlign w:val="center"/>
              </w:tcPr>
            </w:tcPrChange>
          </w:tcPr>
          <w:p w14:paraId="5B4D606F">
            <w:pPr>
              <w:keepNext w:val="0"/>
              <w:keepLines w:val="0"/>
              <w:pageBreakBefore w:val="0"/>
              <w:kinsoku/>
              <w:wordWrap/>
              <w:overflowPunct/>
              <w:topLinePunct w:val="0"/>
              <w:autoSpaceDE/>
              <w:autoSpaceDN/>
              <w:bidi w:val="0"/>
              <w:adjustRightInd/>
              <w:snapToGrid/>
              <w:spacing w:line="240" w:lineRule="auto"/>
              <w:ind w:firstLine="420" w:firstLineChars="200"/>
              <w:jc w:val="left"/>
              <w:textAlignment w:val="auto"/>
              <w:rPr>
                <w:rFonts w:ascii="宋体" w:hAnsi="宋体" w:cs="宋体"/>
                <w:szCs w:val="21"/>
                <w:highlight w:val="none"/>
              </w:rPr>
            </w:pPr>
          </w:p>
        </w:tc>
        <w:tc>
          <w:tcPr>
            <w:tcW w:w="2034" w:type="dxa"/>
            <w:tcBorders>
              <w:top w:val="single" w:color="auto" w:sz="4" w:space="0"/>
              <w:left w:val="nil"/>
              <w:bottom w:val="single" w:color="auto" w:sz="4" w:space="0"/>
              <w:right w:val="single" w:color="auto" w:sz="4" w:space="0"/>
            </w:tcBorders>
            <w:noWrap w:val="0"/>
            <w:vAlign w:val="center"/>
            <w:tcPrChange w:id="6" w:author="gao" w:date="2010-11-14T22:15:00Z">
              <w:tcPr>
                <w:tcW w:w="2340" w:type="dxa"/>
                <w:gridSpan w:val="2"/>
                <w:tcBorders>
                  <w:top w:val="single" w:color="auto" w:sz="4" w:space="0"/>
                  <w:left w:val="nil"/>
                  <w:bottom w:val="single" w:color="auto" w:sz="4" w:space="0"/>
                  <w:right w:val="single" w:color="auto" w:sz="4" w:space="0"/>
                </w:tcBorders>
                <w:noWrap w:val="0"/>
                <w:vAlign w:val="center"/>
              </w:tcPr>
            </w:tcPrChange>
          </w:tcPr>
          <w:p w14:paraId="3E11854A">
            <w:pPr>
              <w:keepNext w:val="0"/>
              <w:keepLines w:val="0"/>
              <w:pageBreakBefore w:val="0"/>
              <w:kinsoku/>
              <w:wordWrap/>
              <w:overflowPunct/>
              <w:topLinePunct w:val="0"/>
              <w:autoSpaceDE/>
              <w:autoSpaceDN/>
              <w:bidi w:val="0"/>
              <w:adjustRightInd/>
              <w:snapToGrid/>
              <w:spacing w:line="240" w:lineRule="auto"/>
              <w:ind w:firstLine="420" w:firstLineChars="200"/>
              <w:jc w:val="left"/>
              <w:textAlignment w:val="auto"/>
              <w:rPr>
                <w:rFonts w:ascii="宋体" w:hAnsi="宋体" w:cs="宋体"/>
                <w:szCs w:val="21"/>
                <w:highlight w:val="none"/>
              </w:rPr>
            </w:pPr>
          </w:p>
        </w:tc>
      </w:tr>
      <w:tr w14:paraId="5A6F2AC7">
        <w:tblPrEx>
          <w:tblCellMar>
            <w:top w:w="0" w:type="dxa"/>
            <w:left w:w="108" w:type="dxa"/>
            <w:bottom w:w="0" w:type="dxa"/>
            <w:right w:w="108" w:type="dxa"/>
          </w:tblCellMar>
        </w:tblPrEx>
        <w:trPr>
          <w:trHeight w:val="390" w:hRule="atLeast"/>
          <w:jc w:val="center"/>
        </w:trPr>
        <w:tc>
          <w:tcPr>
            <w:tcW w:w="1108" w:type="dxa"/>
            <w:vMerge w:val="continue"/>
            <w:tcBorders>
              <w:left w:val="single" w:color="auto" w:sz="4" w:space="0"/>
              <w:bottom w:val="single" w:color="auto" w:sz="4" w:space="0"/>
              <w:right w:val="single" w:color="auto" w:sz="4" w:space="0"/>
            </w:tcBorders>
            <w:noWrap w:val="0"/>
            <w:vAlign w:val="center"/>
          </w:tcPr>
          <w:p w14:paraId="3AB1E18E">
            <w:pPr>
              <w:keepNext w:val="0"/>
              <w:keepLines w:val="0"/>
              <w:pageBreakBefore w:val="0"/>
              <w:kinsoku/>
              <w:wordWrap/>
              <w:overflowPunct/>
              <w:topLinePunct w:val="0"/>
              <w:autoSpaceDE/>
              <w:autoSpaceDN/>
              <w:bidi w:val="0"/>
              <w:adjustRightInd/>
              <w:snapToGrid/>
              <w:spacing w:line="240" w:lineRule="auto"/>
              <w:ind w:firstLine="420" w:firstLineChars="200"/>
              <w:jc w:val="both"/>
              <w:textAlignment w:val="auto"/>
              <w:rPr>
                <w:rFonts w:ascii="宋体" w:hAnsi="宋体" w:cs="宋体"/>
                <w:szCs w:val="21"/>
                <w:highlight w:val="none"/>
              </w:rPr>
            </w:pPr>
          </w:p>
        </w:tc>
        <w:tc>
          <w:tcPr>
            <w:tcW w:w="2949" w:type="dxa"/>
            <w:vMerge w:val="continue"/>
            <w:tcBorders>
              <w:left w:val="nil"/>
              <w:bottom w:val="single" w:color="auto" w:sz="4" w:space="0"/>
              <w:right w:val="single" w:color="auto" w:sz="4" w:space="0"/>
            </w:tcBorders>
            <w:noWrap w:val="0"/>
            <w:vAlign w:val="center"/>
          </w:tcPr>
          <w:p w14:paraId="1268C804">
            <w:pPr>
              <w:keepNext w:val="0"/>
              <w:keepLines w:val="0"/>
              <w:pageBreakBefore w:val="0"/>
              <w:kinsoku/>
              <w:wordWrap/>
              <w:overflowPunct/>
              <w:topLinePunct w:val="0"/>
              <w:autoSpaceDE/>
              <w:autoSpaceDN/>
              <w:bidi w:val="0"/>
              <w:adjustRightInd/>
              <w:snapToGrid/>
              <w:spacing w:line="240" w:lineRule="auto"/>
              <w:ind w:firstLine="420" w:firstLineChars="200"/>
              <w:jc w:val="left"/>
              <w:textAlignment w:val="auto"/>
              <w:rPr>
                <w:rFonts w:ascii="宋体" w:hAnsi="宋体" w:cs="宋体"/>
                <w:szCs w:val="21"/>
                <w:highlight w:val="none"/>
              </w:rPr>
            </w:pPr>
          </w:p>
        </w:tc>
        <w:tc>
          <w:tcPr>
            <w:tcW w:w="3084" w:type="dxa"/>
            <w:tcBorders>
              <w:top w:val="single" w:color="auto" w:sz="4" w:space="0"/>
              <w:left w:val="nil"/>
              <w:bottom w:val="single" w:color="auto" w:sz="4" w:space="0"/>
              <w:right w:val="single" w:color="auto" w:sz="4" w:space="0"/>
            </w:tcBorders>
            <w:noWrap w:val="0"/>
            <w:vAlign w:val="center"/>
          </w:tcPr>
          <w:p w14:paraId="3D090360">
            <w:pPr>
              <w:keepNext w:val="0"/>
              <w:keepLines w:val="0"/>
              <w:pageBreakBefore w:val="0"/>
              <w:kinsoku/>
              <w:wordWrap/>
              <w:overflowPunct/>
              <w:topLinePunct w:val="0"/>
              <w:autoSpaceDE/>
              <w:autoSpaceDN/>
              <w:bidi w:val="0"/>
              <w:adjustRightInd/>
              <w:snapToGrid/>
              <w:spacing w:line="240" w:lineRule="auto"/>
              <w:jc w:val="left"/>
              <w:textAlignment w:val="auto"/>
              <w:rPr>
                <w:rFonts w:ascii="宋体" w:hAnsi="宋体" w:cs="宋体"/>
                <w:szCs w:val="21"/>
                <w:highlight w:val="none"/>
              </w:rPr>
            </w:pPr>
            <w:r>
              <w:rPr>
                <w:rFonts w:hint="eastAsia" w:ascii="宋体" w:hAnsi="宋体" w:cs="宋体"/>
                <w:szCs w:val="21"/>
                <w:highlight w:val="none"/>
              </w:rPr>
              <w:t>（3）若发生重大破坏或偷盗案件，每次扣2分，并按价赔偿。</w:t>
            </w:r>
          </w:p>
        </w:tc>
        <w:tc>
          <w:tcPr>
            <w:tcW w:w="725" w:type="dxa"/>
            <w:tcBorders>
              <w:top w:val="single" w:color="auto" w:sz="4" w:space="0"/>
              <w:left w:val="nil"/>
              <w:bottom w:val="single" w:color="auto" w:sz="4" w:space="0"/>
              <w:right w:val="single" w:color="auto" w:sz="4" w:space="0"/>
            </w:tcBorders>
            <w:noWrap w:val="0"/>
            <w:vAlign w:val="center"/>
          </w:tcPr>
          <w:p w14:paraId="54CF8682">
            <w:pPr>
              <w:keepNext w:val="0"/>
              <w:keepLines w:val="0"/>
              <w:pageBreakBefore w:val="0"/>
              <w:kinsoku/>
              <w:wordWrap/>
              <w:overflowPunct/>
              <w:topLinePunct w:val="0"/>
              <w:autoSpaceDE/>
              <w:autoSpaceDN/>
              <w:bidi w:val="0"/>
              <w:adjustRightInd/>
              <w:snapToGrid/>
              <w:spacing w:line="240" w:lineRule="auto"/>
              <w:ind w:firstLine="420" w:firstLineChars="200"/>
              <w:jc w:val="left"/>
              <w:textAlignment w:val="auto"/>
              <w:rPr>
                <w:rFonts w:ascii="宋体" w:hAnsi="宋体" w:cs="宋体"/>
                <w:szCs w:val="21"/>
                <w:highlight w:val="none"/>
              </w:rPr>
            </w:pPr>
          </w:p>
        </w:tc>
        <w:tc>
          <w:tcPr>
            <w:tcW w:w="2034" w:type="dxa"/>
            <w:tcBorders>
              <w:top w:val="single" w:color="auto" w:sz="4" w:space="0"/>
              <w:left w:val="nil"/>
              <w:bottom w:val="single" w:color="auto" w:sz="4" w:space="0"/>
              <w:right w:val="single" w:color="auto" w:sz="4" w:space="0"/>
            </w:tcBorders>
            <w:noWrap w:val="0"/>
            <w:vAlign w:val="center"/>
          </w:tcPr>
          <w:p w14:paraId="02346671">
            <w:pPr>
              <w:keepNext w:val="0"/>
              <w:keepLines w:val="0"/>
              <w:pageBreakBefore w:val="0"/>
              <w:kinsoku/>
              <w:wordWrap/>
              <w:overflowPunct/>
              <w:topLinePunct w:val="0"/>
              <w:autoSpaceDE/>
              <w:autoSpaceDN/>
              <w:bidi w:val="0"/>
              <w:adjustRightInd/>
              <w:snapToGrid/>
              <w:spacing w:line="240" w:lineRule="auto"/>
              <w:ind w:firstLine="420" w:firstLineChars="200"/>
              <w:jc w:val="left"/>
              <w:textAlignment w:val="auto"/>
              <w:rPr>
                <w:rFonts w:ascii="宋体" w:hAnsi="宋体" w:cs="宋体"/>
                <w:szCs w:val="21"/>
                <w:highlight w:val="none"/>
              </w:rPr>
            </w:pPr>
          </w:p>
        </w:tc>
      </w:tr>
      <w:tr w14:paraId="13FDC1D9">
        <w:tblPrEx>
          <w:tblCellMar>
            <w:top w:w="0" w:type="dxa"/>
            <w:left w:w="108" w:type="dxa"/>
            <w:bottom w:w="0" w:type="dxa"/>
            <w:right w:w="108" w:type="dxa"/>
          </w:tblCellMar>
        </w:tblPrEx>
        <w:trPr>
          <w:trHeight w:val="486" w:hRule="atLeast"/>
          <w:jc w:val="center"/>
        </w:trPr>
        <w:tc>
          <w:tcPr>
            <w:tcW w:w="1108" w:type="dxa"/>
            <w:vMerge w:val="restart"/>
            <w:tcBorders>
              <w:top w:val="single" w:color="auto" w:sz="4" w:space="0"/>
              <w:left w:val="single" w:color="auto" w:sz="4" w:space="0"/>
              <w:right w:val="single" w:color="auto" w:sz="4" w:space="0"/>
            </w:tcBorders>
            <w:noWrap w:val="0"/>
            <w:vAlign w:val="center"/>
          </w:tcPr>
          <w:p w14:paraId="569CD2D6">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cs="宋体"/>
                <w:szCs w:val="21"/>
                <w:highlight w:val="none"/>
              </w:rPr>
            </w:pPr>
            <w:r>
              <w:rPr>
                <w:rFonts w:hint="eastAsia" w:ascii="宋体" w:hAnsi="宋体" w:cs="宋体"/>
                <w:szCs w:val="21"/>
                <w:highlight w:val="none"/>
              </w:rPr>
              <w:t>资料</w:t>
            </w:r>
          </w:p>
          <w:p w14:paraId="6B3C73DE">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cs="宋体"/>
                <w:szCs w:val="21"/>
                <w:highlight w:val="none"/>
              </w:rPr>
            </w:pPr>
            <w:r>
              <w:rPr>
                <w:rFonts w:hint="eastAsia" w:ascii="宋体" w:hAnsi="宋体" w:cs="宋体"/>
                <w:szCs w:val="21"/>
                <w:highlight w:val="none"/>
              </w:rPr>
              <w:t>档案</w:t>
            </w:r>
          </w:p>
          <w:p w14:paraId="35953737">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cs="宋体"/>
                <w:szCs w:val="21"/>
                <w:highlight w:val="none"/>
              </w:rPr>
            </w:pPr>
            <w:r>
              <w:rPr>
                <w:rFonts w:hint="eastAsia" w:ascii="宋体" w:hAnsi="宋体" w:cs="宋体"/>
                <w:szCs w:val="21"/>
                <w:highlight w:val="none"/>
              </w:rPr>
              <w:t>（3分）</w:t>
            </w:r>
          </w:p>
        </w:tc>
        <w:tc>
          <w:tcPr>
            <w:tcW w:w="2949" w:type="dxa"/>
            <w:vMerge w:val="restart"/>
            <w:tcBorders>
              <w:top w:val="single" w:color="auto" w:sz="4" w:space="0"/>
              <w:left w:val="nil"/>
              <w:right w:val="single" w:color="auto" w:sz="4" w:space="0"/>
            </w:tcBorders>
            <w:noWrap w:val="0"/>
            <w:vAlign w:val="center"/>
          </w:tcPr>
          <w:p w14:paraId="0820F20F">
            <w:pPr>
              <w:keepNext w:val="0"/>
              <w:keepLines w:val="0"/>
              <w:pageBreakBefore w:val="0"/>
              <w:kinsoku/>
              <w:wordWrap/>
              <w:overflowPunct/>
              <w:topLinePunct w:val="0"/>
              <w:autoSpaceDE/>
              <w:autoSpaceDN/>
              <w:bidi w:val="0"/>
              <w:adjustRightInd/>
              <w:snapToGrid/>
              <w:spacing w:line="240" w:lineRule="auto"/>
              <w:jc w:val="left"/>
              <w:textAlignment w:val="auto"/>
              <w:rPr>
                <w:rFonts w:ascii="宋体" w:hAnsi="宋体" w:cs="宋体"/>
                <w:szCs w:val="21"/>
                <w:highlight w:val="none"/>
              </w:rPr>
            </w:pPr>
            <w:r>
              <w:rPr>
                <w:rFonts w:hint="eastAsia" w:ascii="宋体" w:hAnsi="宋体" w:cs="宋体"/>
                <w:szCs w:val="21"/>
                <w:highlight w:val="none"/>
              </w:rPr>
              <w:t>1、绿化资料分类清楚，基础数据、图纸齐备；</w:t>
            </w:r>
          </w:p>
          <w:p w14:paraId="57311FBA">
            <w:pPr>
              <w:keepNext w:val="0"/>
              <w:keepLines w:val="0"/>
              <w:pageBreakBefore w:val="0"/>
              <w:kinsoku/>
              <w:wordWrap/>
              <w:overflowPunct/>
              <w:topLinePunct w:val="0"/>
              <w:autoSpaceDE/>
              <w:autoSpaceDN/>
              <w:bidi w:val="0"/>
              <w:adjustRightInd/>
              <w:snapToGrid/>
              <w:spacing w:line="240" w:lineRule="auto"/>
              <w:jc w:val="left"/>
              <w:textAlignment w:val="auto"/>
              <w:rPr>
                <w:rFonts w:ascii="宋体" w:hAnsi="宋体" w:cs="宋体"/>
                <w:szCs w:val="21"/>
                <w:highlight w:val="none"/>
              </w:rPr>
            </w:pPr>
            <w:r>
              <w:rPr>
                <w:rFonts w:hint="eastAsia" w:ascii="宋体" w:hAnsi="宋体" w:cs="宋体"/>
                <w:szCs w:val="21"/>
                <w:highlight w:val="none"/>
              </w:rPr>
              <w:t xml:space="preserve">2、绿化统计报表应在规定时间内及时正确报送。       </w:t>
            </w:r>
          </w:p>
        </w:tc>
        <w:tc>
          <w:tcPr>
            <w:tcW w:w="3084" w:type="dxa"/>
            <w:tcBorders>
              <w:top w:val="single" w:color="auto" w:sz="4" w:space="0"/>
              <w:left w:val="nil"/>
              <w:bottom w:val="single" w:color="auto" w:sz="4" w:space="0"/>
              <w:right w:val="single" w:color="auto" w:sz="4" w:space="0"/>
            </w:tcBorders>
            <w:noWrap w:val="0"/>
            <w:vAlign w:val="center"/>
          </w:tcPr>
          <w:p w14:paraId="37CF07ED">
            <w:pPr>
              <w:keepNext w:val="0"/>
              <w:keepLines w:val="0"/>
              <w:pageBreakBefore w:val="0"/>
              <w:kinsoku/>
              <w:wordWrap/>
              <w:overflowPunct/>
              <w:topLinePunct w:val="0"/>
              <w:autoSpaceDE/>
              <w:autoSpaceDN/>
              <w:bidi w:val="0"/>
              <w:adjustRightInd/>
              <w:snapToGrid/>
              <w:spacing w:line="240" w:lineRule="auto"/>
              <w:jc w:val="left"/>
              <w:textAlignment w:val="auto"/>
              <w:rPr>
                <w:rFonts w:ascii="宋体" w:hAnsi="宋体" w:cs="宋体"/>
                <w:szCs w:val="21"/>
                <w:highlight w:val="none"/>
              </w:rPr>
            </w:pPr>
            <w:r>
              <w:rPr>
                <w:rFonts w:hint="eastAsia" w:ascii="宋体" w:hAnsi="宋体" w:cs="宋体"/>
                <w:szCs w:val="21"/>
                <w:highlight w:val="none"/>
              </w:rPr>
              <w:t>（1）未按规定要求建立台帐的，每次扣2分。</w:t>
            </w:r>
          </w:p>
        </w:tc>
        <w:tc>
          <w:tcPr>
            <w:tcW w:w="725" w:type="dxa"/>
            <w:tcBorders>
              <w:top w:val="single" w:color="auto" w:sz="4" w:space="0"/>
              <w:left w:val="nil"/>
              <w:bottom w:val="single" w:color="auto" w:sz="4" w:space="0"/>
              <w:right w:val="single" w:color="auto" w:sz="4" w:space="0"/>
            </w:tcBorders>
            <w:noWrap w:val="0"/>
            <w:vAlign w:val="top"/>
          </w:tcPr>
          <w:p w14:paraId="53511BCD">
            <w:pPr>
              <w:keepNext w:val="0"/>
              <w:keepLines w:val="0"/>
              <w:pageBreakBefore w:val="0"/>
              <w:kinsoku/>
              <w:wordWrap/>
              <w:overflowPunct/>
              <w:topLinePunct w:val="0"/>
              <w:autoSpaceDE/>
              <w:autoSpaceDN/>
              <w:bidi w:val="0"/>
              <w:adjustRightInd/>
              <w:snapToGrid/>
              <w:spacing w:line="240" w:lineRule="auto"/>
              <w:ind w:firstLine="420" w:firstLineChars="200"/>
              <w:jc w:val="left"/>
              <w:textAlignment w:val="auto"/>
              <w:rPr>
                <w:rFonts w:ascii="宋体" w:hAnsi="宋体" w:cs="宋体"/>
                <w:szCs w:val="21"/>
                <w:highlight w:val="none"/>
              </w:rPr>
            </w:pPr>
          </w:p>
        </w:tc>
        <w:tc>
          <w:tcPr>
            <w:tcW w:w="2034" w:type="dxa"/>
            <w:tcBorders>
              <w:top w:val="single" w:color="auto" w:sz="4" w:space="0"/>
              <w:left w:val="nil"/>
              <w:bottom w:val="single" w:color="auto" w:sz="4" w:space="0"/>
              <w:right w:val="single" w:color="auto" w:sz="4" w:space="0"/>
            </w:tcBorders>
            <w:noWrap w:val="0"/>
            <w:vAlign w:val="center"/>
          </w:tcPr>
          <w:p w14:paraId="2349A23E">
            <w:pPr>
              <w:keepNext w:val="0"/>
              <w:keepLines w:val="0"/>
              <w:pageBreakBefore w:val="0"/>
              <w:kinsoku/>
              <w:wordWrap/>
              <w:overflowPunct/>
              <w:topLinePunct w:val="0"/>
              <w:autoSpaceDE/>
              <w:autoSpaceDN/>
              <w:bidi w:val="0"/>
              <w:adjustRightInd/>
              <w:snapToGrid/>
              <w:spacing w:line="240" w:lineRule="auto"/>
              <w:ind w:firstLine="420" w:firstLineChars="200"/>
              <w:jc w:val="left"/>
              <w:textAlignment w:val="auto"/>
              <w:rPr>
                <w:rFonts w:ascii="宋体" w:hAnsi="宋体" w:cs="宋体"/>
                <w:szCs w:val="21"/>
                <w:highlight w:val="none"/>
              </w:rPr>
            </w:pPr>
          </w:p>
        </w:tc>
      </w:tr>
      <w:tr w14:paraId="72F2CBB7">
        <w:tblPrEx>
          <w:tblCellMar>
            <w:top w:w="0" w:type="dxa"/>
            <w:left w:w="108" w:type="dxa"/>
            <w:bottom w:w="0" w:type="dxa"/>
            <w:right w:w="108" w:type="dxa"/>
          </w:tblCellMar>
        </w:tblPrEx>
        <w:trPr>
          <w:trHeight w:val="553" w:hRule="atLeast"/>
          <w:jc w:val="center"/>
        </w:trPr>
        <w:tc>
          <w:tcPr>
            <w:tcW w:w="1108" w:type="dxa"/>
            <w:vMerge w:val="continue"/>
            <w:tcBorders>
              <w:left w:val="single" w:color="auto" w:sz="4" w:space="0"/>
              <w:bottom w:val="single" w:color="auto" w:sz="4" w:space="0"/>
              <w:right w:val="single" w:color="auto" w:sz="4" w:space="0"/>
            </w:tcBorders>
            <w:noWrap w:val="0"/>
            <w:vAlign w:val="center"/>
          </w:tcPr>
          <w:p w14:paraId="69CFE2F0">
            <w:pPr>
              <w:keepNext w:val="0"/>
              <w:keepLines w:val="0"/>
              <w:pageBreakBefore w:val="0"/>
              <w:kinsoku/>
              <w:wordWrap/>
              <w:overflowPunct/>
              <w:topLinePunct w:val="0"/>
              <w:autoSpaceDE/>
              <w:autoSpaceDN/>
              <w:bidi w:val="0"/>
              <w:adjustRightInd/>
              <w:snapToGrid/>
              <w:spacing w:line="240" w:lineRule="auto"/>
              <w:ind w:firstLine="420" w:firstLineChars="200"/>
              <w:jc w:val="both"/>
              <w:textAlignment w:val="auto"/>
              <w:rPr>
                <w:rFonts w:ascii="宋体" w:hAnsi="宋体" w:cs="宋体"/>
                <w:szCs w:val="21"/>
                <w:highlight w:val="none"/>
              </w:rPr>
            </w:pPr>
          </w:p>
        </w:tc>
        <w:tc>
          <w:tcPr>
            <w:tcW w:w="2949" w:type="dxa"/>
            <w:vMerge w:val="continue"/>
            <w:tcBorders>
              <w:left w:val="nil"/>
              <w:bottom w:val="single" w:color="auto" w:sz="4" w:space="0"/>
              <w:right w:val="single" w:color="auto" w:sz="4" w:space="0"/>
            </w:tcBorders>
            <w:noWrap w:val="0"/>
            <w:vAlign w:val="center"/>
          </w:tcPr>
          <w:p w14:paraId="7FFA9231">
            <w:pPr>
              <w:keepNext w:val="0"/>
              <w:keepLines w:val="0"/>
              <w:pageBreakBefore w:val="0"/>
              <w:kinsoku/>
              <w:wordWrap/>
              <w:overflowPunct/>
              <w:topLinePunct w:val="0"/>
              <w:autoSpaceDE/>
              <w:autoSpaceDN/>
              <w:bidi w:val="0"/>
              <w:adjustRightInd/>
              <w:snapToGrid/>
              <w:spacing w:line="240" w:lineRule="auto"/>
              <w:ind w:firstLine="420" w:firstLineChars="200"/>
              <w:jc w:val="left"/>
              <w:textAlignment w:val="auto"/>
              <w:rPr>
                <w:rFonts w:ascii="宋体" w:hAnsi="宋体" w:cs="宋体"/>
                <w:szCs w:val="21"/>
                <w:highlight w:val="none"/>
              </w:rPr>
            </w:pPr>
          </w:p>
        </w:tc>
        <w:tc>
          <w:tcPr>
            <w:tcW w:w="3084" w:type="dxa"/>
            <w:tcBorders>
              <w:top w:val="single" w:color="auto" w:sz="4" w:space="0"/>
              <w:left w:val="nil"/>
              <w:bottom w:val="single" w:color="auto" w:sz="4" w:space="0"/>
              <w:right w:val="single" w:color="auto" w:sz="4" w:space="0"/>
            </w:tcBorders>
            <w:noWrap w:val="0"/>
            <w:vAlign w:val="center"/>
          </w:tcPr>
          <w:p w14:paraId="608B63D1">
            <w:pPr>
              <w:keepNext w:val="0"/>
              <w:keepLines w:val="0"/>
              <w:pageBreakBefore w:val="0"/>
              <w:kinsoku/>
              <w:wordWrap/>
              <w:overflowPunct/>
              <w:topLinePunct w:val="0"/>
              <w:autoSpaceDE/>
              <w:autoSpaceDN/>
              <w:bidi w:val="0"/>
              <w:adjustRightInd/>
              <w:snapToGrid/>
              <w:spacing w:line="240" w:lineRule="auto"/>
              <w:jc w:val="left"/>
              <w:textAlignment w:val="auto"/>
              <w:rPr>
                <w:rFonts w:ascii="宋体" w:hAnsi="宋体" w:cs="宋体"/>
                <w:szCs w:val="21"/>
                <w:highlight w:val="none"/>
              </w:rPr>
            </w:pPr>
            <w:r>
              <w:rPr>
                <w:rFonts w:hint="eastAsia" w:ascii="宋体" w:hAnsi="宋体" w:cs="宋体"/>
                <w:szCs w:val="21"/>
                <w:highlight w:val="none"/>
              </w:rPr>
              <w:t>（2）月度工作总结及养护计划未及时报送，每次扣1分。</w:t>
            </w:r>
          </w:p>
        </w:tc>
        <w:tc>
          <w:tcPr>
            <w:tcW w:w="725" w:type="dxa"/>
            <w:tcBorders>
              <w:top w:val="single" w:color="auto" w:sz="4" w:space="0"/>
              <w:left w:val="nil"/>
              <w:bottom w:val="single" w:color="auto" w:sz="4" w:space="0"/>
              <w:right w:val="single" w:color="auto" w:sz="4" w:space="0"/>
            </w:tcBorders>
            <w:noWrap w:val="0"/>
            <w:vAlign w:val="top"/>
          </w:tcPr>
          <w:p w14:paraId="447AE166">
            <w:pPr>
              <w:keepNext w:val="0"/>
              <w:keepLines w:val="0"/>
              <w:pageBreakBefore w:val="0"/>
              <w:kinsoku/>
              <w:wordWrap/>
              <w:overflowPunct/>
              <w:topLinePunct w:val="0"/>
              <w:autoSpaceDE/>
              <w:autoSpaceDN/>
              <w:bidi w:val="0"/>
              <w:adjustRightInd/>
              <w:snapToGrid/>
              <w:spacing w:line="240" w:lineRule="auto"/>
              <w:ind w:firstLine="420" w:firstLineChars="200"/>
              <w:jc w:val="left"/>
              <w:textAlignment w:val="auto"/>
              <w:rPr>
                <w:rFonts w:ascii="宋体" w:hAnsi="宋体" w:cs="宋体"/>
                <w:szCs w:val="21"/>
                <w:highlight w:val="none"/>
              </w:rPr>
            </w:pPr>
          </w:p>
        </w:tc>
        <w:tc>
          <w:tcPr>
            <w:tcW w:w="2034" w:type="dxa"/>
            <w:tcBorders>
              <w:top w:val="single" w:color="auto" w:sz="4" w:space="0"/>
              <w:left w:val="nil"/>
              <w:bottom w:val="single" w:color="auto" w:sz="4" w:space="0"/>
              <w:right w:val="single" w:color="auto" w:sz="4" w:space="0"/>
            </w:tcBorders>
            <w:noWrap w:val="0"/>
            <w:vAlign w:val="center"/>
          </w:tcPr>
          <w:p w14:paraId="2E0FE720">
            <w:pPr>
              <w:keepNext w:val="0"/>
              <w:keepLines w:val="0"/>
              <w:pageBreakBefore w:val="0"/>
              <w:kinsoku/>
              <w:wordWrap/>
              <w:overflowPunct/>
              <w:topLinePunct w:val="0"/>
              <w:autoSpaceDE/>
              <w:autoSpaceDN/>
              <w:bidi w:val="0"/>
              <w:adjustRightInd/>
              <w:snapToGrid/>
              <w:spacing w:line="240" w:lineRule="auto"/>
              <w:ind w:firstLine="420" w:firstLineChars="200"/>
              <w:jc w:val="left"/>
              <w:textAlignment w:val="auto"/>
              <w:rPr>
                <w:rFonts w:ascii="宋体" w:hAnsi="宋体" w:cs="宋体"/>
                <w:szCs w:val="21"/>
                <w:highlight w:val="none"/>
              </w:rPr>
            </w:pPr>
          </w:p>
        </w:tc>
      </w:tr>
      <w:tr w14:paraId="49FDED6E">
        <w:tblPrEx>
          <w:tblCellMar>
            <w:top w:w="0" w:type="dxa"/>
            <w:left w:w="108" w:type="dxa"/>
            <w:bottom w:w="0" w:type="dxa"/>
            <w:right w:w="108" w:type="dxa"/>
          </w:tblCellMar>
        </w:tblPrEx>
        <w:trPr>
          <w:trHeight w:val="624" w:hRule="atLeast"/>
          <w:jc w:val="center"/>
        </w:trPr>
        <w:tc>
          <w:tcPr>
            <w:tcW w:w="1108" w:type="dxa"/>
            <w:vMerge w:val="restart"/>
            <w:tcBorders>
              <w:top w:val="single" w:color="auto" w:sz="4" w:space="0"/>
              <w:left w:val="single" w:color="auto" w:sz="4" w:space="0"/>
              <w:right w:val="single" w:color="auto" w:sz="4" w:space="0"/>
            </w:tcBorders>
            <w:noWrap w:val="0"/>
            <w:vAlign w:val="center"/>
          </w:tcPr>
          <w:p w14:paraId="556B50F0">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cs="宋体"/>
                <w:szCs w:val="21"/>
                <w:highlight w:val="none"/>
              </w:rPr>
            </w:pPr>
            <w:r>
              <w:rPr>
                <w:rFonts w:hint="eastAsia" w:ascii="宋体" w:hAnsi="宋体" w:cs="宋体"/>
                <w:szCs w:val="21"/>
                <w:highlight w:val="none"/>
              </w:rPr>
              <w:t>其它</w:t>
            </w:r>
          </w:p>
          <w:p w14:paraId="340960B3">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cs="宋体"/>
                <w:szCs w:val="21"/>
                <w:highlight w:val="none"/>
              </w:rPr>
            </w:pPr>
            <w:r>
              <w:rPr>
                <w:rFonts w:hint="eastAsia" w:ascii="宋体" w:hAnsi="宋体" w:cs="宋体"/>
                <w:szCs w:val="21"/>
                <w:highlight w:val="none"/>
              </w:rPr>
              <w:t>（4分）</w:t>
            </w:r>
          </w:p>
        </w:tc>
        <w:tc>
          <w:tcPr>
            <w:tcW w:w="2949" w:type="dxa"/>
            <w:vMerge w:val="restart"/>
            <w:tcBorders>
              <w:top w:val="single" w:color="auto" w:sz="4" w:space="0"/>
              <w:left w:val="nil"/>
              <w:right w:val="single" w:color="auto" w:sz="4" w:space="0"/>
            </w:tcBorders>
            <w:noWrap w:val="0"/>
            <w:vAlign w:val="center"/>
          </w:tcPr>
          <w:p w14:paraId="6214B0ED">
            <w:pPr>
              <w:keepNext w:val="0"/>
              <w:keepLines w:val="0"/>
              <w:pageBreakBefore w:val="0"/>
              <w:kinsoku/>
              <w:wordWrap/>
              <w:overflowPunct/>
              <w:topLinePunct w:val="0"/>
              <w:autoSpaceDE/>
              <w:autoSpaceDN/>
              <w:bidi w:val="0"/>
              <w:adjustRightInd/>
              <w:snapToGrid/>
              <w:spacing w:line="240" w:lineRule="auto"/>
              <w:jc w:val="left"/>
              <w:textAlignment w:val="auto"/>
              <w:rPr>
                <w:rFonts w:ascii="宋体" w:hAnsi="宋体" w:cs="宋体"/>
                <w:szCs w:val="21"/>
                <w:highlight w:val="none"/>
              </w:rPr>
            </w:pPr>
            <w:r>
              <w:rPr>
                <w:rFonts w:hint="eastAsia" w:ascii="宋体" w:hAnsi="宋体" w:cs="宋体"/>
                <w:szCs w:val="21"/>
                <w:highlight w:val="none"/>
              </w:rPr>
              <w:t xml:space="preserve">1、及时处理突发事件及应急事件，灾害性天气及时检查清理断枝和倒伏树木；                 </w:t>
            </w:r>
          </w:p>
          <w:p w14:paraId="65BD3275">
            <w:pPr>
              <w:keepNext w:val="0"/>
              <w:keepLines w:val="0"/>
              <w:pageBreakBefore w:val="0"/>
              <w:kinsoku/>
              <w:wordWrap/>
              <w:overflowPunct/>
              <w:topLinePunct w:val="0"/>
              <w:autoSpaceDE/>
              <w:autoSpaceDN/>
              <w:bidi w:val="0"/>
              <w:adjustRightInd/>
              <w:snapToGrid/>
              <w:spacing w:line="240" w:lineRule="auto"/>
              <w:jc w:val="left"/>
              <w:textAlignment w:val="auto"/>
              <w:rPr>
                <w:rFonts w:ascii="宋体" w:hAnsi="宋体" w:cs="宋体"/>
                <w:szCs w:val="21"/>
                <w:highlight w:val="none"/>
              </w:rPr>
            </w:pPr>
            <w:r>
              <w:rPr>
                <w:rFonts w:hint="eastAsia" w:ascii="宋体" w:hAnsi="宋体" w:cs="宋体"/>
                <w:szCs w:val="21"/>
                <w:highlight w:val="none"/>
              </w:rPr>
              <w:t>2、在规定时限内完成工作及指令性任务，配合做好各类活动工作；</w:t>
            </w:r>
          </w:p>
          <w:p w14:paraId="4BA17420">
            <w:pPr>
              <w:keepNext w:val="0"/>
              <w:keepLines w:val="0"/>
              <w:pageBreakBefore w:val="0"/>
              <w:kinsoku/>
              <w:wordWrap/>
              <w:overflowPunct/>
              <w:topLinePunct w:val="0"/>
              <w:autoSpaceDE/>
              <w:autoSpaceDN/>
              <w:bidi w:val="0"/>
              <w:adjustRightInd/>
              <w:snapToGrid/>
              <w:spacing w:line="240" w:lineRule="auto"/>
              <w:jc w:val="left"/>
              <w:textAlignment w:val="auto"/>
              <w:rPr>
                <w:rFonts w:ascii="宋体" w:hAnsi="宋体" w:cs="宋体"/>
                <w:szCs w:val="21"/>
                <w:highlight w:val="none"/>
              </w:rPr>
            </w:pPr>
            <w:r>
              <w:rPr>
                <w:rFonts w:hint="eastAsia" w:ascii="宋体" w:hAnsi="宋体" w:cs="宋体"/>
                <w:szCs w:val="21"/>
                <w:highlight w:val="none"/>
              </w:rPr>
              <w:t xml:space="preserve">3、树木及时扶正，植株无歪斜、倒伏现象。  </w:t>
            </w:r>
          </w:p>
        </w:tc>
        <w:tc>
          <w:tcPr>
            <w:tcW w:w="3084" w:type="dxa"/>
            <w:tcBorders>
              <w:top w:val="single" w:color="auto" w:sz="4" w:space="0"/>
              <w:left w:val="nil"/>
              <w:bottom w:val="single" w:color="auto" w:sz="4" w:space="0"/>
              <w:right w:val="single" w:color="auto" w:sz="4" w:space="0"/>
            </w:tcBorders>
            <w:noWrap w:val="0"/>
            <w:vAlign w:val="center"/>
          </w:tcPr>
          <w:p w14:paraId="05C794DD">
            <w:pPr>
              <w:keepNext w:val="0"/>
              <w:keepLines w:val="0"/>
              <w:pageBreakBefore w:val="0"/>
              <w:kinsoku/>
              <w:wordWrap/>
              <w:overflowPunct/>
              <w:topLinePunct w:val="0"/>
              <w:autoSpaceDE/>
              <w:autoSpaceDN/>
              <w:bidi w:val="0"/>
              <w:adjustRightInd/>
              <w:snapToGrid/>
              <w:spacing w:line="240" w:lineRule="auto"/>
              <w:jc w:val="left"/>
              <w:textAlignment w:val="auto"/>
              <w:rPr>
                <w:rFonts w:ascii="宋体" w:hAnsi="宋体" w:cs="宋体"/>
                <w:szCs w:val="21"/>
                <w:highlight w:val="none"/>
              </w:rPr>
            </w:pPr>
            <w:r>
              <w:rPr>
                <w:rFonts w:hint="eastAsia" w:ascii="宋体" w:hAnsi="宋体" w:cs="宋体"/>
                <w:szCs w:val="21"/>
                <w:highlight w:val="none"/>
              </w:rPr>
              <w:t>（1）按时保质完成上级交给的突击和重大抢险任务，每次加1分。</w:t>
            </w:r>
          </w:p>
        </w:tc>
        <w:tc>
          <w:tcPr>
            <w:tcW w:w="725" w:type="dxa"/>
            <w:tcBorders>
              <w:top w:val="single" w:color="auto" w:sz="4" w:space="0"/>
              <w:left w:val="nil"/>
              <w:bottom w:val="single" w:color="auto" w:sz="4" w:space="0"/>
              <w:right w:val="single" w:color="auto" w:sz="4" w:space="0"/>
            </w:tcBorders>
            <w:noWrap w:val="0"/>
            <w:vAlign w:val="center"/>
          </w:tcPr>
          <w:p w14:paraId="084A9ECC">
            <w:pPr>
              <w:keepNext w:val="0"/>
              <w:keepLines w:val="0"/>
              <w:pageBreakBefore w:val="0"/>
              <w:kinsoku/>
              <w:wordWrap/>
              <w:overflowPunct/>
              <w:topLinePunct w:val="0"/>
              <w:autoSpaceDE/>
              <w:autoSpaceDN/>
              <w:bidi w:val="0"/>
              <w:adjustRightInd/>
              <w:snapToGrid/>
              <w:spacing w:line="240" w:lineRule="auto"/>
              <w:ind w:firstLine="420" w:firstLineChars="200"/>
              <w:jc w:val="left"/>
              <w:textAlignment w:val="auto"/>
              <w:rPr>
                <w:rFonts w:ascii="宋体" w:hAnsi="宋体" w:cs="宋体"/>
                <w:szCs w:val="21"/>
                <w:highlight w:val="none"/>
              </w:rPr>
            </w:pPr>
          </w:p>
        </w:tc>
        <w:tc>
          <w:tcPr>
            <w:tcW w:w="2034" w:type="dxa"/>
            <w:tcBorders>
              <w:top w:val="single" w:color="auto" w:sz="4" w:space="0"/>
              <w:left w:val="nil"/>
              <w:bottom w:val="single" w:color="auto" w:sz="4" w:space="0"/>
              <w:right w:val="single" w:color="auto" w:sz="4" w:space="0"/>
            </w:tcBorders>
            <w:noWrap w:val="0"/>
            <w:vAlign w:val="center"/>
          </w:tcPr>
          <w:p w14:paraId="558EF96B">
            <w:pPr>
              <w:keepNext w:val="0"/>
              <w:keepLines w:val="0"/>
              <w:pageBreakBefore w:val="0"/>
              <w:kinsoku/>
              <w:wordWrap/>
              <w:overflowPunct/>
              <w:topLinePunct w:val="0"/>
              <w:autoSpaceDE/>
              <w:autoSpaceDN/>
              <w:bidi w:val="0"/>
              <w:adjustRightInd/>
              <w:snapToGrid/>
              <w:spacing w:line="240" w:lineRule="auto"/>
              <w:ind w:firstLine="420" w:firstLineChars="200"/>
              <w:jc w:val="left"/>
              <w:textAlignment w:val="auto"/>
              <w:rPr>
                <w:rFonts w:ascii="宋体" w:hAnsi="宋体" w:cs="宋体"/>
                <w:szCs w:val="21"/>
                <w:highlight w:val="none"/>
              </w:rPr>
            </w:pPr>
          </w:p>
        </w:tc>
      </w:tr>
      <w:tr w14:paraId="42B3EC03">
        <w:tblPrEx>
          <w:tblCellMar>
            <w:top w:w="0" w:type="dxa"/>
            <w:left w:w="108" w:type="dxa"/>
            <w:bottom w:w="0" w:type="dxa"/>
            <w:right w:w="108" w:type="dxa"/>
          </w:tblCellMar>
        </w:tblPrEx>
        <w:trPr>
          <w:trHeight w:val="527" w:hRule="atLeast"/>
          <w:jc w:val="center"/>
        </w:trPr>
        <w:tc>
          <w:tcPr>
            <w:tcW w:w="1108" w:type="dxa"/>
            <w:vMerge w:val="continue"/>
            <w:tcBorders>
              <w:left w:val="single" w:color="auto" w:sz="4" w:space="0"/>
              <w:right w:val="single" w:color="auto" w:sz="4" w:space="0"/>
            </w:tcBorders>
            <w:noWrap w:val="0"/>
            <w:vAlign w:val="center"/>
          </w:tcPr>
          <w:p w14:paraId="6D210A6F">
            <w:pPr>
              <w:keepNext w:val="0"/>
              <w:keepLines w:val="0"/>
              <w:pageBreakBefore w:val="0"/>
              <w:kinsoku/>
              <w:wordWrap/>
              <w:overflowPunct/>
              <w:topLinePunct w:val="0"/>
              <w:autoSpaceDE/>
              <w:autoSpaceDN/>
              <w:bidi w:val="0"/>
              <w:adjustRightInd/>
              <w:snapToGrid/>
              <w:spacing w:line="240" w:lineRule="auto"/>
              <w:ind w:firstLine="420" w:firstLineChars="200"/>
              <w:jc w:val="both"/>
              <w:textAlignment w:val="auto"/>
              <w:rPr>
                <w:rFonts w:ascii="宋体" w:hAnsi="宋体" w:cs="宋体"/>
                <w:szCs w:val="21"/>
                <w:highlight w:val="none"/>
              </w:rPr>
            </w:pPr>
          </w:p>
        </w:tc>
        <w:tc>
          <w:tcPr>
            <w:tcW w:w="2949" w:type="dxa"/>
            <w:vMerge w:val="continue"/>
            <w:tcBorders>
              <w:left w:val="nil"/>
              <w:right w:val="single" w:color="auto" w:sz="4" w:space="0"/>
            </w:tcBorders>
            <w:noWrap w:val="0"/>
            <w:vAlign w:val="center"/>
          </w:tcPr>
          <w:p w14:paraId="3CB9E59E">
            <w:pPr>
              <w:keepNext w:val="0"/>
              <w:keepLines w:val="0"/>
              <w:pageBreakBefore w:val="0"/>
              <w:kinsoku/>
              <w:wordWrap/>
              <w:overflowPunct/>
              <w:topLinePunct w:val="0"/>
              <w:autoSpaceDE/>
              <w:autoSpaceDN/>
              <w:bidi w:val="0"/>
              <w:adjustRightInd/>
              <w:snapToGrid/>
              <w:spacing w:line="240" w:lineRule="auto"/>
              <w:ind w:firstLine="420" w:firstLineChars="200"/>
              <w:jc w:val="left"/>
              <w:textAlignment w:val="auto"/>
              <w:rPr>
                <w:rFonts w:ascii="宋体" w:hAnsi="宋体" w:cs="宋体"/>
                <w:szCs w:val="21"/>
                <w:highlight w:val="none"/>
              </w:rPr>
            </w:pPr>
          </w:p>
        </w:tc>
        <w:tc>
          <w:tcPr>
            <w:tcW w:w="3084" w:type="dxa"/>
            <w:tcBorders>
              <w:top w:val="nil"/>
              <w:left w:val="nil"/>
              <w:bottom w:val="single" w:color="auto" w:sz="4" w:space="0"/>
              <w:right w:val="single" w:color="auto" w:sz="4" w:space="0"/>
            </w:tcBorders>
            <w:noWrap w:val="0"/>
            <w:vAlign w:val="center"/>
          </w:tcPr>
          <w:p w14:paraId="1AD17C48">
            <w:pPr>
              <w:keepNext w:val="0"/>
              <w:keepLines w:val="0"/>
              <w:pageBreakBefore w:val="0"/>
              <w:kinsoku/>
              <w:wordWrap/>
              <w:overflowPunct/>
              <w:topLinePunct w:val="0"/>
              <w:autoSpaceDE/>
              <w:autoSpaceDN/>
              <w:bidi w:val="0"/>
              <w:adjustRightInd/>
              <w:snapToGrid/>
              <w:spacing w:line="240" w:lineRule="auto"/>
              <w:jc w:val="left"/>
              <w:textAlignment w:val="auto"/>
              <w:rPr>
                <w:rFonts w:ascii="宋体" w:hAnsi="宋体" w:cs="宋体"/>
                <w:szCs w:val="21"/>
                <w:highlight w:val="none"/>
              </w:rPr>
            </w:pPr>
            <w:r>
              <w:rPr>
                <w:rFonts w:hint="eastAsia" w:ascii="宋体" w:hAnsi="宋体" w:cs="宋体"/>
                <w:szCs w:val="21"/>
                <w:highlight w:val="none"/>
              </w:rPr>
              <w:t>（2）未在规定时间内完成指定性任务，发现一次扣2分。</w:t>
            </w:r>
          </w:p>
        </w:tc>
        <w:tc>
          <w:tcPr>
            <w:tcW w:w="725" w:type="dxa"/>
            <w:tcBorders>
              <w:top w:val="nil"/>
              <w:left w:val="nil"/>
              <w:bottom w:val="single" w:color="auto" w:sz="4" w:space="0"/>
              <w:right w:val="single" w:color="auto" w:sz="4" w:space="0"/>
            </w:tcBorders>
            <w:noWrap w:val="0"/>
            <w:vAlign w:val="center"/>
          </w:tcPr>
          <w:p w14:paraId="7E1CD4AD">
            <w:pPr>
              <w:keepNext w:val="0"/>
              <w:keepLines w:val="0"/>
              <w:pageBreakBefore w:val="0"/>
              <w:kinsoku/>
              <w:wordWrap/>
              <w:overflowPunct/>
              <w:topLinePunct w:val="0"/>
              <w:autoSpaceDE/>
              <w:autoSpaceDN/>
              <w:bidi w:val="0"/>
              <w:adjustRightInd/>
              <w:snapToGrid/>
              <w:spacing w:line="240" w:lineRule="auto"/>
              <w:ind w:firstLine="420" w:firstLineChars="200"/>
              <w:jc w:val="left"/>
              <w:textAlignment w:val="auto"/>
              <w:rPr>
                <w:rFonts w:ascii="宋体" w:hAnsi="宋体" w:cs="宋体"/>
                <w:szCs w:val="21"/>
                <w:highlight w:val="none"/>
              </w:rPr>
            </w:pPr>
          </w:p>
        </w:tc>
        <w:tc>
          <w:tcPr>
            <w:tcW w:w="2034" w:type="dxa"/>
            <w:tcBorders>
              <w:top w:val="nil"/>
              <w:left w:val="nil"/>
              <w:bottom w:val="single" w:color="auto" w:sz="4" w:space="0"/>
              <w:right w:val="single" w:color="auto" w:sz="4" w:space="0"/>
            </w:tcBorders>
            <w:noWrap w:val="0"/>
            <w:vAlign w:val="center"/>
          </w:tcPr>
          <w:p w14:paraId="060BD9CA">
            <w:pPr>
              <w:keepNext w:val="0"/>
              <w:keepLines w:val="0"/>
              <w:pageBreakBefore w:val="0"/>
              <w:kinsoku/>
              <w:wordWrap/>
              <w:overflowPunct/>
              <w:topLinePunct w:val="0"/>
              <w:autoSpaceDE/>
              <w:autoSpaceDN/>
              <w:bidi w:val="0"/>
              <w:adjustRightInd/>
              <w:snapToGrid/>
              <w:spacing w:line="240" w:lineRule="auto"/>
              <w:ind w:firstLine="420" w:firstLineChars="200"/>
              <w:jc w:val="left"/>
              <w:textAlignment w:val="auto"/>
              <w:rPr>
                <w:rFonts w:ascii="宋体" w:hAnsi="宋体" w:cs="宋体"/>
                <w:szCs w:val="21"/>
                <w:highlight w:val="none"/>
              </w:rPr>
            </w:pPr>
          </w:p>
        </w:tc>
      </w:tr>
      <w:tr w14:paraId="4BF98087">
        <w:tblPrEx>
          <w:tblCellMar>
            <w:top w:w="0" w:type="dxa"/>
            <w:left w:w="108" w:type="dxa"/>
            <w:bottom w:w="0" w:type="dxa"/>
            <w:right w:w="108" w:type="dxa"/>
          </w:tblCellMar>
        </w:tblPrEx>
        <w:trPr>
          <w:trHeight w:val="581" w:hRule="atLeast"/>
          <w:jc w:val="center"/>
        </w:trPr>
        <w:tc>
          <w:tcPr>
            <w:tcW w:w="1108" w:type="dxa"/>
            <w:vMerge w:val="continue"/>
            <w:tcBorders>
              <w:left w:val="single" w:color="auto" w:sz="4" w:space="0"/>
              <w:bottom w:val="single" w:color="auto" w:sz="4" w:space="0"/>
              <w:right w:val="single" w:color="auto" w:sz="4" w:space="0"/>
            </w:tcBorders>
            <w:noWrap w:val="0"/>
            <w:vAlign w:val="center"/>
          </w:tcPr>
          <w:p w14:paraId="138A2DA7">
            <w:pPr>
              <w:keepNext w:val="0"/>
              <w:keepLines w:val="0"/>
              <w:pageBreakBefore w:val="0"/>
              <w:kinsoku/>
              <w:wordWrap/>
              <w:overflowPunct/>
              <w:topLinePunct w:val="0"/>
              <w:autoSpaceDE/>
              <w:autoSpaceDN/>
              <w:bidi w:val="0"/>
              <w:adjustRightInd/>
              <w:snapToGrid/>
              <w:spacing w:line="240" w:lineRule="auto"/>
              <w:ind w:firstLine="420" w:firstLineChars="200"/>
              <w:jc w:val="both"/>
              <w:textAlignment w:val="auto"/>
              <w:rPr>
                <w:rFonts w:ascii="宋体" w:hAnsi="宋体" w:cs="宋体"/>
                <w:szCs w:val="21"/>
                <w:highlight w:val="none"/>
              </w:rPr>
            </w:pPr>
          </w:p>
        </w:tc>
        <w:tc>
          <w:tcPr>
            <w:tcW w:w="2949" w:type="dxa"/>
            <w:vMerge w:val="continue"/>
            <w:tcBorders>
              <w:left w:val="nil"/>
              <w:bottom w:val="single" w:color="auto" w:sz="4" w:space="0"/>
              <w:right w:val="single" w:color="auto" w:sz="4" w:space="0"/>
            </w:tcBorders>
            <w:noWrap w:val="0"/>
            <w:vAlign w:val="center"/>
          </w:tcPr>
          <w:p w14:paraId="3F99C812">
            <w:pPr>
              <w:keepNext w:val="0"/>
              <w:keepLines w:val="0"/>
              <w:pageBreakBefore w:val="0"/>
              <w:kinsoku/>
              <w:wordWrap/>
              <w:overflowPunct/>
              <w:topLinePunct w:val="0"/>
              <w:autoSpaceDE/>
              <w:autoSpaceDN/>
              <w:bidi w:val="0"/>
              <w:adjustRightInd/>
              <w:snapToGrid/>
              <w:spacing w:line="240" w:lineRule="auto"/>
              <w:ind w:firstLine="420" w:firstLineChars="200"/>
              <w:jc w:val="left"/>
              <w:textAlignment w:val="auto"/>
              <w:rPr>
                <w:rFonts w:ascii="宋体" w:hAnsi="宋体" w:cs="宋体"/>
                <w:szCs w:val="21"/>
                <w:highlight w:val="none"/>
              </w:rPr>
            </w:pPr>
          </w:p>
        </w:tc>
        <w:tc>
          <w:tcPr>
            <w:tcW w:w="3084" w:type="dxa"/>
            <w:tcBorders>
              <w:top w:val="nil"/>
              <w:left w:val="nil"/>
              <w:bottom w:val="single" w:color="auto" w:sz="4" w:space="0"/>
              <w:right w:val="single" w:color="auto" w:sz="4" w:space="0"/>
            </w:tcBorders>
            <w:noWrap w:val="0"/>
            <w:vAlign w:val="center"/>
          </w:tcPr>
          <w:p w14:paraId="72716A00">
            <w:pPr>
              <w:keepNext w:val="0"/>
              <w:keepLines w:val="0"/>
              <w:pageBreakBefore w:val="0"/>
              <w:kinsoku/>
              <w:wordWrap/>
              <w:overflowPunct/>
              <w:topLinePunct w:val="0"/>
              <w:autoSpaceDE/>
              <w:autoSpaceDN/>
              <w:bidi w:val="0"/>
              <w:adjustRightInd/>
              <w:snapToGrid/>
              <w:spacing w:line="240" w:lineRule="auto"/>
              <w:jc w:val="left"/>
              <w:textAlignment w:val="auto"/>
              <w:rPr>
                <w:rFonts w:ascii="宋体" w:hAnsi="宋体" w:cs="宋体"/>
                <w:szCs w:val="21"/>
                <w:highlight w:val="none"/>
              </w:rPr>
            </w:pPr>
            <w:r>
              <w:rPr>
                <w:rFonts w:hint="eastAsia" w:ascii="宋体" w:hAnsi="宋体" w:cs="宋体"/>
                <w:szCs w:val="21"/>
                <w:highlight w:val="none"/>
              </w:rPr>
              <w:t>（3）发现断枝、倒伏树木每株扣2分；歪斜植株不及时扶正，每发现一株扣0.5分。</w:t>
            </w:r>
          </w:p>
        </w:tc>
        <w:tc>
          <w:tcPr>
            <w:tcW w:w="725" w:type="dxa"/>
            <w:tcBorders>
              <w:top w:val="nil"/>
              <w:left w:val="nil"/>
              <w:bottom w:val="single" w:color="auto" w:sz="4" w:space="0"/>
              <w:right w:val="single" w:color="auto" w:sz="4" w:space="0"/>
            </w:tcBorders>
            <w:noWrap w:val="0"/>
            <w:vAlign w:val="center"/>
          </w:tcPr>
          <w:p w14:paraId="07EF8F50">
            <w:pPr>
              <w:keepNext w:val="0"/>
              <w:keepLines w:val="0"/>
              <w:pageBreakBefore w:val="0"/>
              <w:kinsoku/>
              <w:wordWrap/>
              <w:overflowPunct/>
              <w:topLinePunct w:val="0"/>
              <w:autoSpaceDE/>
              <w:autoSpaceDN/>
              <w:bidi w:val="0"/>
              <w:adjustRightInd/>
              <w:snapToGrid/>
              <w:spacing w:line="240" w:lineRule="auto"/>
              <w:ind w:firstLine="420" w:firstLineChars="200"/>
              <w:jc w:val="left"/>
              <w:textAlignment w:val="auto"/>
              <w:rPr>
                <w:rFonts w:ascii="宋体" w:hAnsi="宋体" w:cs="宋体"/>
                <w:szCs w:val="21"/>
                <w:highlight w:val="none"/>
              </w:rPr>
            </w:pPr>
          </w:p>
        </w:tc>
        <w:tc>
          <w:tcPr>
            <w:tcW w:w="2034" w:type="dxa"/>
            <w:tcBorders>
              <w:top w:val="nil"/>
              <w:left w:val="nil"/>
              <w:bottom w:val="single" w:color="auto" w:sz="4" w:space="0"/>
              <w:right w:val="single" w:color="auto" w:sz="4" w:space="0"/>
            </w:tcBorders>
            <w:noWrap w:val="0"/>
            <w:vAlign w:val="center"/>
          </w:tcPr>
          <w:p w14:paraId="637193E2">
            <w:pPr>
              <w:keepNext w:val="0"/>
              <w:keepLines w:val="0"/>
              <w:pageBreakBefore w:val="0"/>
              <w:kinsoku/>
              <w:wordWrap/>
              <w:overflowPunct/>
              <w:topLinePunct w:val="0"/>
              <w:autoSpaceDE/>
              <w:autoSpaceDN/>
              <w:bidi w:val="0"/>
              <w:adjustRightInd/>
              <w:snapToGrid/>
              <w:spacing w:line="240" w:lineRule="auto"/>
              <w:ind w:firstLine="420" w:firstLineChars="200"/>
              <w:jc w:val="left"/>
              <w:textAlignment w:val="auto"/>
              <w:rPr>
                <w:rFonts w:ascii="宋体" w:hAnsi="宋体" w:cs="宋体"/>
                <w:szCs w:val="21"/>
                <w:highlight w:val="none"/>
              </w:rPr>
            </w:pPr>
          </w:p>
        </w:tc>
      </w:tr>
    </w:tbl>
    <w:p w14:paraId="0CB8D806">
      <w:pPr>
        <w:keepNext w:val="0"/>
        <w:keepLines w:val="0"/>
        <w:pageBreakBefore w:val="0"/>
        <w:kinsoku/>
        <w:wordWrap/>
        <w:overflowPunct/>
        <w:topLinePunct w:val="0"/>
        <w:autoSpaceDE/>
        <w:autoSpaceDN/>
        <w:bidi w:val="0"/>
        <w:adjustRightInd/>
        <w:snapToGrid/>
        <w:spacing w:line="240" w:lineRule="auto"/>
        <w:jc w:val="both"/>
        <w:textAlignment w:val="auto"/>
        <w:rPr>
          <w:rFonts w:ascii="宋体" w:hAnsi="宋体" w:cs="宋体"/>
          <w:szCs w:val="21"/>
          <w:highlight w:val="none"/>
        </w:rPr>
      </w:pPr>
      <w:r>
        <w:rPr>
          <w:rFonts w:hint="eastAsia" w:ascii="宋体" w:hAnsi="宋体" w:cs="宋体"/>
          <w:szCs w:val="21"/>
          <w:highlight w:val="none"/>
        </w:rPr>
        <w:t>注：1、第一次考核每单项扣分不超过本单项总分值。</w:t>
      </w:r>
    </w:p>
    <w:p w14:paraId="313B2B94">
      <w:pPr>
        <w:pStyle w:val="3"/>
        <w:rPr>
          <w:rFonts w:hint="eastAsia"/>
          <w:color w:val="000000"/>
          <w:sz w:val="24"/>
          <w:highlight w:val="none"/>
        </w:rPr>
      </w:pPr>
      <w:r>
        <w:rPr>
          <w:rFonts w:hint="eastAsia" w:ascii="宋体" w:hAnsi="宋体" w:cs="宋体"/>
          <w:szCs w:val="21"/>
          <w:highlight w:val="none"/>
        </w:rPr>
        <w:t>2、每次月度考核通报的问题未在次月考核前整改的或在之后的考核中发现同样问题的，加倍扣除按考核细则应扣分值，累计每单项扣分不受本单项总分值限制。</w:t>
      </w:r>
    </w:p>
    <w:sectPr>
      <w:footerReference r:id="rId4" w:type="default"/>
      <w:pgSz w:w="11906" w:h="16838"/>
      <w:pgMar w:top="1440" w:right="1800" w:bottom="1440" w:left="1800" w:header="851" w:footer="992" w:gutter="0"/>
      <w:pgNumType w:start="1"/>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8FA0E00D-A786-416F-9B04-458254597A51}"/>
  </w:font>
  <w:font w:name="黑体">
    <w:panose1 w:val="02010609060101010101"/>
    <w:charset w:val="86"/>
    <w:family w:val="auto"/>
    <w:pitch w:val="default"/>
    <w:sig w:usb0="800002BF" w:usb1="38CF7CFA" w:usb2="00000016" w:usb3="00000000" w:csb0="00040001" w:csb1="00000000"/>
    <w:embedRegular r:id="rId2" w:fontKey="{DD3F2F05-A0C1-48B2-87C2-7AF8F7FB20A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embedRegular r:id="rId3" w:fontKey="{35C0D4A5-44A9-4C2F-A1AA-A252F1456EF2}"/>
  </w:font>
  <w:font w:name="仿宋">
    <w:panose1 w:val="02010609060101010101"/>
    <w:charset w:val="86"/>
    <w:family w:val="auto"/>
    <w:pitch w:val="default"/>
    <w:sig w:usb0="800002BF" w:usb1="38CF7CFA" w:usb2="00000016" w:usb3="00000000" w:csb0="00040001" w:csb1="00000000"/>
  </w:font>
  <w:font w:name="Helvetica">
    <w:altName w:val="Arial"/>
    <w:panose1 w:val="00000000000000000000"/>
    <w:charset w:val="00"/>
    <w:family w:val="auto"/>
    <w:pitch w:val="default"/>
    <w:sig w:usb0="00000000" w:usb1="00000000" w:usb2="00000000" w:usb3="00000000" w:csb0="00040001" w:csb1="00000000"/>
    <w:embedRegular r:id="rId4" w:fontKey="{954F71F4-8538-4C0A-B625-D0CB9BC01AE7}"/>
  </w:font>
  <w:font w:name="方正小标宋_GBK">
    <w:panose1 w:val="02000000000000000000"/>
    <w:charset w:val="86"/>
    <w:family w:val="script"/>
    <w:pitch w:val="default"/>
    <w:sig w:usb0="A00002BF" w:usb1="38CF7CFA" w:usb2="00082016" w:usb3="00000000" w:csb0="00040001" w:csb1="00000000"/>
    <w:embedRegular r:id="rId5" w:fontKey="{26895E9D-2C11-4BE0-AB2D-A2E0B64E62DA}"/>
  </w:font>
  <w:font w:name="方正仿宋_GBK">
    <w:panose1 w:val="02000000000000000000"/>
    <w:charset w:val="86"/>
    <w:family w:val="script"/>
    <w:pitch w:val="default"/>
    <w:sig w:usb0="A00002BF" w:usb1="38CF7CFA" w:usb2="00082016" w:usb3="00000000" w:csb0="00040001" w:csb1="00000000"/>
    <w:embedRegular r:id="rId6" w:fontKey="{593AB148-C076-4BD4-BA2A-3289472C890F}"/>
  </w:font>
  <w:font w:name="等线">
    <w:panose1 w:val="02010600030101010101"/>
    <w:charset w:val="86"/>
    <w:family w:val="auto"/>
    <w:pitch w:val="default"/>
    <w:sig w:usb0="A00002BF" w:usb1="38CF7CFA" w:usb2="00000016" w:usb3="00000000" w:csb0="0004000F" w:csb1="00000000"/>
    <w:embedRegular r:id="rId7" w:fontKey="{56937FB4-77FD-477D-9CEF-FC381250DEC4}"/>
  </w:font>
  <w:font w:name="KSOFE44F9426">
    <w:panose1 w:val="02010609060101010101"/>
    <w:charset w:val="86"/>
    <w:family w:val="auto"/>
    <w:pitch w:val="default"/>
    <w:sig w:usb0="00000001" w:usb1="00000000" w:usb2="00000000" w:usb3="00000000" w:csb0="00040001" w:csb1="00000000"/>
  </w:font>
  <w:font w:name="KSOFB4AB0A6B">
    <w:panose1 w:val="020B0704020202020204"/>
    <w:charset w:val="00"/>
    <w:family w:val="auto"/>
    <w:pitch w:val="default"/>
    <w:sig w:usb0="00000001" w:usb1="00000000" w:usb2="00000000" w:usb3="00000000" w:csb0="0000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9F84FA">
    <w:pPr>
      <w:pStyle w:val="12"/>
      <w:jc w:val="center"/>
      <w:rPr>
        <w:rFonts w:hint="default" w:eastAsia="宋体"/>
        <w:lang w:val="en-US" w:eastAsia="zh-CN"/>
      </w:rP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4</w:t>
    </w:r>
    <w:r>
      <w:rPr>
        <w:b/>
        <w:bCs/>
        <w:sz w:val="24"/>
        <w:szCs w:val="24"/>
      </w:rPr>
      <w:fldChar w:fldCharType="end"/>
    </w:r>
    <w:r>
      <w:rPr>
        <w:lang w:val="zh-CN"/>
      </w:rPr>
      <w:t xml:space="preserve"> / </w:t>
    </w:r>
    <w:r>
      <w:rPr>
        <w:rFonts w:hint="eastAsia"/>
        <w:b/>
        <w:bCs/>
        <w:sz w:val="18"/>
        <w:szCs w:val="18"/>
        <w:lang w:val="en-US" w:eastAsia="zh-CN"/>
      </w:rPr>
      <w:t>29</w:t>
    </w:r>
  </w:p>
  <w:p w14:paraId="6E6505F7">
    <w:pPr>
      <w:pStyle w:val="1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1CCDD6">
    <w:pPr>
      <w:pStyle w:val="1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A5E971D"/>
    <w:multiLevelType w:val="singleLevel"/>
    <w:tmpl w:val="CA5E971D"/>
    <w:lvl w:ilvl="0" w:tentative="0">
      <w:start w:val="1"/>
      <w:numFmt w:val="decimal"/>
      <w:suff w:val="nothing"/>
      <w:lvlText w:val="%1、"/>
      <w:lvlJc w:val="left"/>
      <w:rPr>
        <w:rFonts w:hint="default" w:ascii="宋体" w:hAnsi="宋体" w:eastAsia="宋体" w:cs="宋体"/>
        <w:sz w:val="28"/>
        <w:szCs w:val="28"/>
      </w:rPr>
    </w:lvl>
  </w:abstractNum>
  <w:abstractNum w:abstractNumId="1">
    <w:nsid w:val="D2A123AC"/>
    <w:multiLevelType w:val="singleLevel"/>
    <w:tmpl w:val="D2A123AC"/>
    <w:lvl w:ilvl="0" w:tentative="0">
      <w:start w:val="1"/>
      <w:numFmt w:val="decimal"/>
      <w:suff w:val="nothing"/>
      <w:lvlText w:val="%1、"/>
      <w:lvlJc w:val="left"/>
    </w:lvl>
  </w:abstractNum>
  <w:abstractNum w:abstractNumId="2">
    <w:nsid w:val="272E382E"/>
    <w:multiLevelType w:val="singleLevel"/>
    <w:tmpl w:val="272E382E"/>
    <w:lvl w:ilvl="0" w:tentative="0">
      <w:start w:val="1"/>
      <w:numFmt w:val="decimal"/>
      <w:suff w:val="nothing"/>
      <w:lvlText w:val="%1、"/>
      <w:lvlJc w:val="left"/>
    </w:lvl>
  </w:abstractNum>
  <w:abstractNum w:abstractNumId="3">
    <w:nsid w:val="2A884BD1"/>
    <w:multiLevelType w:val="multilevel"/>
    <w:tmpl w:val="2A884BD1"/>
    <w:lvl w:ilvl="0" w:tentative="0">
      <w:start w:val="1"/>
      <w:numFmt w:val="japaneseCounting"/>
      <w:lvlText w:val="第%1章"/>
      <w:lvlJc w:val="left"/>
      <w:pPr>
        <w:tabs>
          <w:tab w:val="left" w:pos="1715"/>
        </w:tabs>
        <w:ind w:left="1715" w:hanging="1290"/>
      </w:pPr>
      <w:rPr>
        <w:rFonts w:hint="default"/>
      </w:rPr>
    </w:lvl>
    <w:lvl w:ilvl="1" w:tentative="0">
      <w:start w:val="1"/>
      <w:numFmt w:val="decimal"/>
      <w:lvlText w:val="%2、"/>
      <w:lvlJc w:val="left"/>
      <w:pPr>
        <w:tabs>
          <w:tab w:val="left" w:pos="1713"/>
        </w:tabs>
        <w:ind w:left="1713" w:hanging="720"/>
      </w:pPr>
      <w:rPr>
        <w:rFonts w:hint="default"/>
      </w:rPr>
    </w:lvl>
    <w:lvl w:ilvl="2" w:tentative="0">
      <w:start w:val="1"/>
      <w:numFmt w:val="lowerRoman"/>
      <w:lvlText w:val="%3."/>
      <w:lvlJc w:val="right"/>
      <w:pPr>
        <w:tabs>
          <w:tab w:val="left" w:pos="1685"/>
        </w:tabs>
        <w:ind w:left="1685" w:hanging="420"/>
      </w:pPr>
    </w:lvl>
    <w:lvl w:ilvl="3" w:tentative="0">
      <w:start w:val="1"/>
      <w:numFmt w:val="decimal"/>
      <w:lvlText w:val="%4."/>
      <w:lvlJc w:val="left"/>
      <w:pPr>
        <w:tabs>
          <w:tab w:val="left" w:pos="2105"/>
        </w:tabs>
        <w:ind w:left="2105" w:hanging="420"/>
      </w:pPr>
    </w:lvl>
    <w:lvl w:ilvl="4" w:tentative="0">
      <w:start w:val="1"/>
      <w:numFmt w:val="lowerLetter"/>
      <w:lvlText w:val="%5)"/>
      <w:lvlJc w:val="left"/>
      <w:pPr>
        <w:tabs>
          <w:tab w:val="left" w:pos="2525"/>
        </w:tabs>
        <w:ind w:left="2525" w:hanging="420"/>
      </w:pPr>
    </w:lvl>
    <w:lvl w:ilvl="5" w:tentative="0">
      <w:start w:val="1"/>
      <w:numFmt w:val="lowerRoman"/>
      <w:lvlText w:val="%6."/>
      <w:lvlJc w:val="right"/>
      <w:pPr>
        <w:tabs>
          <w:tab w:val="left" w:pos="2945"/>
        </w:tabs>
        <w:ind w:left="2945" w:hanging="420"/>
      </w:pPr>
    </w:lvl>
    <w:lvl w:ilvl="6" w:tentative="0">
      <w:start w:val="1"/>
      <w:numFmt w:val="decimal"/>
      <w:lvlText w:val="%7."/>
      <w:lvlJc w:val="left"/>
      <w:pPr>
        <w:tabs>
          <w:tab w:val="left" w:pos="3365"/>
        </w:tabs>
        <w:ind w:left="3365" w:hanging="420"/>
      </w:pPr>
    </w:lvl>
    <w:lvl w:ilvl="7" w:tentative="0">
      <w:start w:val="1"/>
      <w:numFmt w:val="lowerLetter"/>
      <w:lvlText w:val="%8)"/>
      <w:lvlJc w:val="left"/>
      <w:pPr>
        <w:tabs>
          <w:tab w:val="left" w:pos="3785"/>
        </w:tabs>
        <w:ind w:left="3785" w:hanging="420"/>
      </w:pPr>
    </w:lvl>
    <w:lvl w:ilvl="8" w:tentative="0">
      <w:start w:val="1"/>
      <w:numFmt w:val="lowerRoman"/>
      <w:lvlText w:val="%9."/>
      <w:lvlJc w:val="right"/>
      <w:pPr>
        <w:tabs>
          <w:tab w:val="left" w:pos="4205"/>
        </w:tabs>
        <w:ind w:left="4205" w:hanging="420"/>
      </w:pPr>
    </w:lvl>
  </w:abstractNum>
  <w:abstractNum w:abstractNumId="4">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2"/>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5">
    <w:nsid w:val="41801EA3"/>
    <w:multiLevelType w:val="multilevel"/>
    <w:tmpl w:val="41801EA3"/>
    <w:lvl w:ilvl="0" w:tentative="0">
      <w:start w:val="1"/>
      <w:numFmt w:val="japaneseCounting"/>
      <w:lvlText w:val="%1、"/>
      <w:lvlJc w:val="left"/>
      <w:pPr>
        <w:tabs>
          <w:tab w:val="left" w:pos="720"/>
        </w:tabs>
        <w:ind w:left="720" w:hanging="720"/>
      </w:pPr>
      <w:rPr>
        <w:rFonts w:hint="eastAsia"/>
      </w:rPr>
    </w:lvl>
    <w:lvl w:ilvl="1" w:tentative="0">
      <w:start w:val="1"/>
      <w:numFmt w:val="decimal"/>
      <w:lvlText w:val="%2."/>
      <w:lvlJc w:val="left"/>
      <w:pPr>
        <w:tabs>
          <w:tab w:val="left" w:pos="840"/>
        </w:tabs>
        <w:ind w:left="840" w:hanging="420"/>
      </w:pPr>
      <w:rPr>
        <w:rFonts w:hint="eastAsia"/>
      </w:rPr>
    </w:lvl>
    <w:lvl w:ilvl="2" w:tentative="0">
      <w:start w:val="1"/>
      <w:numFmt w:val="lowerLetter"/>
      <w:lvlText w:val="%3．"/>
      <w:lvlJc w:val="left"/>
      <w:pPr>
        <w:tabs>
          <w:tab w:val="left" w:pos="1560"/>
        </w:tabs>
        <w:ind w:left="1560" w:hanging="720"/>
      </w:pPr>
      <w:rPr>
        <w:rFonts w:hint="eastAsia"/>
      </w:rPr>
    </w:lvl>
    <w:lvl w:ilvl="3" w:tentative="0">
      <w:start w:val="4"/>
      <w:numFmt w:val="japaneseCounting"/>
      <w:lvlText w:val="第%4章"/>
      <w:lvlJc w:val="left"/>
      <w:pPr>
        <w:tabs>
          <w:tab w:val="left" w:pos="4056"/>
        </w:tabs>
        <w:ind w:left="4056" w:hanging="1080"/>
      </w:pPr>
      <w:rPr>
        <w:rFonts w:hint="eastAsia"/>
      </w:rPr>
    </w:lvl>
    <w:lvl w:ilvl="4" w:tentative="0">
      <w:start w:val="1"/>
      <w:numFmt w:val="decimalFullWidth"/>
      <w:lvlText w:val="%5、"/>
      <w:lvlJc w:val="left"/>
      <w:pPr>
        <w:tabs>
          <w:tab w:val="left" w:pos="1162"/>
        </w:tabs>
        <w:ind w:left="1162" w:hanging="1020"/>
      </w:pPr>
      <w:rPr>
        <w:rFonts w:hint="eastAsia"/>
      </w:rPr>
    </w:lvl>
    <w:lvl w:ilvl="5" w:tentative="0">
      <w:start w:val="1"/>
      <w:numFmt w:val="decimal"/>
      <w:lvlText w:val="%6）"/>
      <w:lvlJc w:val="left"/>
      <w:pPr>
        <w:tabs>
          <w:tab w:val="left" w:pos="6249"/>
        </w:tabs>
        <w:ind w:left="6249" w:hanging="720"/>
      </w:pPr>
      <w:rPr>
        <w:rFonts w:hint="default"/>
      </w:rPr>
    </w:lvl>
    <w:lvl w:ilvl="6" w:tentative="0">
      <w:start w:val="4"/>
      <w:numFmt w:val="decimal"/>
      <w:lvlText w:val="%7．"/>
      <w:lvlJc w:val="left"/>
      <w:pPr>
        <w:tabs>
          <w:tab w:val="left" w:pos="3240"/>
        </w:tabs>
        <w:ind w:left="3240" w:hanging="720"/>
      </w:pPr>
      <w:rPr>
        <w:rFonts w:hint="default" w:ascii="仿宋_GB2312"/>
      </w:r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58DC5E8B"/>
    <w:multiLevelType w:val="singleLevel"/>
    <w:tmpl w:val="58DC5E8B"/>
    <w:lvl w:ilvl="0" w:tentative="0">
      <w:start w:val="1"/>
      <w:numFmt w:val="decimal"/>
      <w:suff w:val="nothing"/>
      <w:lvlText w:val="%1．"/>
      <w:lvlJc w:val="left"/>
      <w:pPr>
        <w:ind w:left="26" w:firstLine="400"/>
      </w:pPr>
      <w:rPr>
        <w:rFonts w:hint="default"/>
      </w:rPr>
    </w:lvl>
  </w:abstractNum>
  <w:abstractNum w:abstractNumId="7">
    <w:nsid w:val="6D1FE696"/>
    <w:multiLevelType w:val="singleLevel"/>
    <w:tmpl w:val="6D1FE696"/>
    <w:lvl w:ilvl="0" w:tentative="0">
      <w:start w:val="5"/>
      <w:numFmt w:val="chineseCounting"/>
      <w:suff w:val="nothing"/>
      <w:lvlText w:val="%1、"/>
      <w:lvlJc w:val="left"/>
      <w:rPr>
        <w:rFonts w:hint="eastAsia"/>
      </w:rPr>
    </w:lvl>
  </w:abstractNum>
  <w:num w:numId="1">
    <w:abstractNumId w:val="4"/>
  </w:num>
  <w:num w:numId="2">
    <w:abstractNumId w:val="3"/>
  </w:num>
  <w:num w:numId="3">
    <w:abstractNumId w:val="5"/>
  </w:num>
  <w:num w:numId="4">
    <w:abstractNumId w:val="2"/>
  </w:num>
  <w:num w:numId="5">
    <w:abstractNumId w:val="0"/>
  </w:num>
  <w:num w:numId="6">
    <w:abstractNumId w:val="7"/>
  </w:num>
  <w:num w:numId="7">
    <w:abstractNumId w:val="6"/>
  </w:num>
  <w:num w:numId="8">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gao">
    <w15:presenceInfo w15:providerId="None" w15:userId="ga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5"/>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IyMzFkODA3MzFiZjVlMjQ4ZGE2MmZjN2YyZTAxZWEifQ=="/>
  </w:docVars>
  <w:rsids>
    <w:rsidRoot w:val="00172A27"/>
    <w:rsid w:val="002276F1"/>
    <w:rsid w:val="003D252F"/>
    <w:rsid w:val="006B1B1D"/>
    <w:rsid w:val="00814501"/>
    <w:rsid w:val="00EC5C36"/>
    <w:rsid w:val="00FE5DE6"/>
    <w:rsid w:val="0139378E"/>
    <w:rsid w:val="017B5688"/>
    <w:rsid w:val="018D00A7"/>
    <w:rsid w:val="01B67E7B"/>
    <w:rsid w:val="024111F8"/>
    <w:rsid w:val="02812F76"/>
    <w:rsid w:val="02C92587"/>
    <w:rsid w:val="02CD301E"/>
    <w:rsid w:val="03002423"/>
    <w:rsid w:val="03031491"/>
    <w:rsid w:val="03B2575A"/>
    <w:rsid w:val="053D6174"/>
    <w:rsid w:val="05DE653E"/>
    <w:rsid w:val="062331EA"/>
    <w:rsid w:val="06420B50"/>
    <w:rsid w:val="067803E8"/>
    <w:rsid w:val="06AD62E4"/>
    <w:rsid w:val="06F21D26"/>
    <w:rsid w:val="07350A05"/>
    <w:rsid w:val="08274BAD"/>
    <w:rsid w:val="08E12275"/>
    <w:rsid w:val="098470A4"/>
    <w:rsid w:val="09D83A6D"/>
    <w:rsid w:val="09F14739"/>
    <w:rsid w:val="0A13553E"/>
    <w:rsid w:val="0A1B17B6"/>
    <w:rsid w:val="0A650C83"/>
    <w:rsid w:val="0A830887"/>
    <w:rsid w:val="0B057D70"/>
    <w:rsid w:val="0B753148"/>
    <w:rsid w:val="0C3D67FB"/>
    <w:rsid w:val="0D645D24"/>
    <w:rsid w:val="0DBE3557"/>
    <w:rsid w:val="0E902351"/>
    <w:rsid w:val="0F652055"/>
    <w:rsid w:val="0FCB3337"/>
    <w:rsid w:val="10101691"/>
    <w:rsid w:val="10233173"/>
    <w:rsid w:val="102F7D69"/>
    <w:rsid w:val="104258B0"/>
    <w:rsid w:val="1082430A"/>
    <w:rsid w:val="114415F3"/>
    <w:rsid w:val="11BA012C"/>
    <w:rsid w:val="11E44B84"/>
    <w:rsid w:val="11EC6DFD"/>
    <w:rsid w:val="13E679F2"/>
    <w:rsid w:val="13E9390C"/>
    <w:rsid w:val="14163BF0"/>
    <w:rsid w:val="14392248"/>
    <w:rsid w:val="14603804"/>
    <w:rsid w:val="146D2C0E"/>
    <w:rsid w:val="15190FE8"/>
    <w:rsid w:val="159F0CEE"/>
    <w:rsid w:val="17334A86"/>
    <w:rsid w:val="174A7237"/>
    <w:rsid w:val="17991F6C"/>
    <w:rsid w:val="179C26F8"/>
    <w:rsid w:val="17FB3975"/>
    <w:rsid w:val="18286288"/>
    <w:rsid w:val="18754787"/>
    <w:rsid w:val="18910E95"/>
    <w:rsid w:val="1942351A"/>
    <w:rsid w:val="1950447F"/>
    <w:rsid w:val="19772C2F"/>
    <w:rsid w:val="197C1B46"/>
    <w:rsid w:val="19A5743B"/>
    <w:rsid w:val="1A5959E3"/>
    <w:rsid w:val="1A815A63"/>
    <w:rsid w:val="1AA84876"/>
    <w:rsid w:val="1AFA0DB5"/>
    <w:rsid w:val="1B0F116A"/>
    <w:rsid w:val="1B3A3153"/>
    <w:rsid w:val="1B4728DB"/>
    <w:rsid w:val="1B6461D0"/>
    <w:rsid w:val="1BF9712D"/>
    <w:rsid w:val="1BF97E81"/>
    <w:rsid w:val="1C752494"/>
    <w:rsid w:val="1D4330A6"/>
    <w:rsid w:val="1D4E63B4"/>
    <w:rsid w:val="1D6B7F07"/>
    <w:rsid w:val="1D70376F"/>
    <w:rsid w:val="1D813CEF"/>
    <w:rsid w:val="1DE613FA"/>
    <w:rsid w:val="1E25455A"/>
    <w:rsid w:val="1E6A6E8D"/>
    <w:rsid w:val="1F406747"/>
    <w:rsid w:val="1F6C3F37"/>
    <w:rsid w:val="203B1E13"/>
    <w:rsid w:val="20A13F70"/>
    <w:rsid w:val="20A20114"/>
    <w:rsid w:val="2107263D"/>
    <w:rsid w:val="21253C2A"/>
    <w:rsid w:val="22665141"/>
    <w:rsid w:val="23AD350C"/>
    <w:rsid w:val="23F67D01"/>
    <w:rsid w:val="24066BDB"/>
    <w:rsid w:val="24EF7670"/>
    <w:rsid w:val="252B52DB"/>
    <w:rsid w:val="256A520F"/>
    <w:rsid w:val="260B04D9"/>
    <w:rsid w:val="26557884"/>
    <w:rsid w:val="26B77733"/>
    <w:rsid w:val="26C35F49"/>
    <w:rsid w:val="26E82431"/>
    <w:rsid w:val="26FD1CB8"/>
    <w:rsid w:val="27C941A8"/>
    <w:rsid w:val="27F136FF"/>
    <w:rsid w:val="280F5D69"/>
    <w:rsid w:val="28221B0A"/>
    <w:rsid w:val="283261F1"/>
    <w:rsid w:val="28445F24"/>
    <w:rsid w:val="28A828B5"/>
    <w:rsid w:val="29076063"/>
    <w:rsid w:val="2AAF3B29"/>
    <w:rsid w:val="2B536BAA"/>
    <w:rsid w:val="2B5446D0"/>
    <w:rsid w:val="2B82746B"/>
    <w:rsid w:val="2C673F8F"/>
    <w:rsid w:val="2D0D1776"/>
    <w:rsid w:val="2D5F7B8C"/>
    <w:rsid w:val="2DC93154"/>
    <w:rsid w:val="2DE27D71"/>
    <w:rsid w:val="2E445064"/>
    <w:rsid w:val="2E5D6366"/>
    <w:rsid w:val="2E821554"/>
    <w:rsid w:val="2ECE02F6"/>
    <w:rsid w:val="2F640B7F"/>
    <w:rsid w:val="3011704E"/>
    <w:rsid w:val="3062519A"/>
    <w:rsid w:val="306A6B1E"/>
    <w:rsid w:val="307F04B4"/>
    <w:rsid w:val="311B1D93"/>
    <w:rsid w:val="311B7355"/>
    <w:rsid w:val="312863E3"/>
    <w:rsid w:val="3199126D"/>
    <w:rsid w:val="31ED4F37"/>
    <w:rsid w:val="326571C3"/>
    <w:rsid w:val="33530D24"/>
    <w:rsid w:val="34464766"/>
    <w:rsid w:val="34B34562"/>
    <w:rsid w:val="35284C04"/>
    <w:rsid w:val="35616594"/>
    <w:rsid w:val="357853FC"/>
    <w:rsid w:val="384C2463"/>
    <w:rsid w:val="39463F22"/>
    <w:rsid w:val="396C5791"/>
    <w:rsid w:val="39807C13"/>
    <w:rsid w:val="39926953"/>
    <w:rsid w:val="3A390EBB"/>
    <w:rsid w:val="3A9E3B4A"/>
    <w:rsid w:val="3AF320E3"/>
    <w:rsid w:val="3B380AEE"/>
    <w:rsid w:val="3B765F9D"/>
    <w:rsid w:val="3BC57B8F"/>
    <w:rsid w:val="3BDD6AE1"/>
    <w:rsid w:val="3BE253C4"/>
    <w:rsid w:val="3D0531E3"/>
    <w:rsid w:val="3DDD0555"/>
    <w:rsid w:val="3DE82198"/>
    <w:rsid w:val="3E467EA9"/>
    <w:rsid w:val="3E6D7B2B"/>
    <w:rsid w:val="3FE566F2"/>
    <w:rsid w:val="40DE0554"/>
    <w:rsid w:val="426A36E7"/>
    <w:rsid w:val="43E50315"/>
    <w:rsid w:val="44094615"/>
    <w:rsid w:val="441B3B85"/>
    <w:rsid w:val="46790A77"/>
    <w:rsid w:val="47B2035D"/>
    <w:rsid w:val="4904173D"/>
    <w:rsid w:val="4B0A7054"/>
    <w:rsid w:val="4BB5712F"/>
    <w:rsid w:val="4C122435"/>
    <w:rsid w:val="4CE744EB"/>
    <w:rsid w:val="4D420ADF"/>
    <w:rsid w:val="4DA03C92"/>
    <w:rsid w:val="4DCE4ACF"/>
    <w:rsid w:val="4EDE5E61"/>
    <w:rsid w:val="4EFC5A4C"/>
    <w:rsid w:val="4F207BED"/>
    <w:rsid w:val="50196501"/>
    <w:rsid w:val="50894677"/>
    <w:rsid w:val="50D810C6"/>
    <w:rsid w:val="51BA28A2"/>
    <w:rsid w:val="52770997"/>
    <w:rsid w:val="538412AC"/>
    <w:rsid w:val="55071964"/>
    <w:rsid w:val="55323BF7"/>
    <w:rsid w:val="55636414"/>
    <w:rsid w:val="559334FE"/>
    <w:rsid w:val="55CB0CC3"/>
    <w:rsid w:val="560938C0"/>
    <w:rsid w:val="56E37A63"/>
    <w:rsid w:val="575F274A"/>
    <w:rsid w:val="578A05D1"/>
    <w:rsid w:val="57BE37A2"/>
    <w:rsid w:val="58242BB1"/>
    <w:rsid w:val="58893220"/>
    <w:rsid w:val="58A14202"/>
    <w:rsid w:val="58B5530F"/>
    <w:rsid w:val="59772588"/>
    <w:rsid w:val="5A86063B"/>
    <w:rsid w:val="5ACC19C8"/>
    <w:rsid w:val="5ACE32A8"/>
    <w:rsid w:val="5B620739"/>
    <w:rsid w:val="5BB4249E"/>
    <w:rsid w:val="5BE90FD1"/>
    <w:rsid w:val="5C2C7A6D"/>
    <w:rsid w:val="5C994791"/>
    <w:rsid w:val="5CBA1D36"/>
    <w:rsid w:val="5DAD4619"/>
    <w:rsid w:val="5DDF5CFF"/>
    <w:rsid w:val="5EEC2A63"/>
    <w:rsid w:val="5F0219B7"/>
    <w:rsid w:val="5FCB48C4"/>
    <w:rsid w:val="5FD00F1B"/>
    <w:rsid w:val="5FE52914"/>
    <w:rsid w:val="600D7A7E"/>
    <w:rsid w:val="606A5821"/>
    <w:rsid w:val="60B0559C"/>
    <w:rsid w:val="60D72E93"/>
    <w:rsid w:val="60E03D35"/>
    <w:rsid w:val="60E70884"/>
    <w:rsid w:val="60FF240D"/>
    <w:rsid w:val="61AD0418"/>
    <w:rsid w:val="62773C1F"/>
    <w:rsid w:val="628A03FC"/>
    <w:rsid w:val="62E7642A"/>
    <w:rsid w:val="634A34E1"/>
    <w:rsid w:val="63A562B6"/>
    <w:rsid w:val="63CE42B2"/>
    <w:rsid w:val="65103F9B"/>
    <w:rsid w:val="65164DA3"/>
    <w:rsid w:val="656E2A04"/>
    <w:rsid w:val="65B01354"/>
    <w:rsid w:val="669B6734"/>
    <w:rsid w:val="66C67529"/>
    <w:rsid w:val="67CA4DF7"/>
    <w:rsid w:val="67F2454A"/>
    <w:rsid w:val="68012F0F"/>
    <w:rsid w:val="698F00A6"/>
    <w:rsid w:val="69BF343C"/>
    <w:rsid w:val="6A16113C"/>
    <w:rsid w:val="6A4C294C"/>
    <w:rsid w:val="6A4E676E"/>
    <w:rsid w:val="6A6D07B3"/>
    <w:rsid w:val="6B4B44D2"/>
    <w:rsid w:val="6B833938"/>
    <w:rsid w:val="6BA936A1"/>
    <w:rsid w:val="6BAF0EFC"/>
    <w:rsid w:val="6BB608BC"/>
    <w:rsid w:val="6BFE3589"/>
    <w:rsid w:val="6D082649"/>
    <w:rsid w:val="6D28759E"/>
    <w:rsid w:val="6D3708FB"/>
    <w:rsid w:val="6D39779C"/>
    <w:rsid w:val="6E053BA7"/>
    <w:rsid w:val="6E3D2189"/>
    <w:rsid w:val="6EA04ECD"/>
    <w:rsid w:val="7011271F"/>
    <w:rsid w:val="70AA435C"/>
    <w:rsid w:val="70B10E2C"/>
    <w:rsid w:val="71156E86"/>
    <w:rsid w:val="71940950"/>
    <w:rsid w:val="71C54575"/>
    <w:rsid w:val="71D5087F"/>
    <w:rsid w:val="720D19F0"/>
    <w:rsid w:val="721F0E45"/>
    <w:rsid w:val="72202137"/>
    <w:rsid w:val="72F86E2E"/>
    <w:rsid w:val="745B5755"/>
    <w:rsid w:val="756A5430"/>
    <w:rsid w:val="75BB6EF8"/>
    <w:rsid w:val="75C334F3"/>
    <w:rsid w:val="76595147"/>
    <w:rsid w:val="76D503FC"/>
    <w:rsid w:val="77400C32"/>
    <w:rsid w:val="774062C3"/>
    <w:rsid w:val="77456248"/>
    <w:rsid w:val="77970C59"/>
    <w:rsid w:val="77DB72D8"/>
    <w:rsid w:val="77E4549A"/>
    <w:rsid w:val="78130758"/>
    <w:rsid w:val="78A64485"/>
    <w:rsid w:val="79206F6D"/>
    <w:rsid w:val="7A1A1C0E"/>
    <w:rsid w:val="7A72583E"/>
    <w:rsid w:val="7AA002C3"/>
    <w:rsid w:val="7AB4366F"/>
    <w:rsid w:val="7AF6547D"/>
    <w:rsid w:val="7B2065A2"/>
    <w:rsid w:val="7B58479C"/>
    <w:rsid w:val="7BB60249"/>
    <w:rsid w:val="7C806996"/>
    <w:rsid w:val="7C815F74"/>
    <w:rsid w:val="7CA01BE5"/>
    <w:rsid w:val="7CB85DFC"/>
    <w:rsid w:val="7D4274B2"/>
    <w:rsid w:val="7D843DC0"/>
    <w:rsid w:val="7DE254A3"/>
    <w:rsid w:val="7E851D4C"/>
    <w:rsid w:val="7ECB2067"/>
    <w:rsid w:val="7EDB5E10"/>
    <w:rsid w:val="7F1045CF"/>
    <w:rsid w:val="7F132F09"/>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4">
    <w:name w:val="heading 3"/>
    <w:basedOn w:val="1"/>
    <w:next w:val="1"/>
    <w:link w:val="22"/>
    <w:qFormat/>
    <w:uiPriority w:val="0"/>
    <w:pPr>
      <w:keepNext/>
      <w:keepLines/>
      <w:spacing w:before="260" w:after="260" w:line="413" w:lineRule="auto"/>
      <w:outlineLvl w:val="2"/>
    </w:pPr>
    <w:rPr>
      <w:b/>
      <w:kern w:val="0"/>
      <w:sz w:val="32"/>
      <w:szCs w:val="20"/>
    </w:rPr>
  </w:style>
  <w:style w:type="paragraph" w:styleId="5">
    <w:name w:val="heading 4"/>
    <w:basedOn w:val="1"/>
    <w:next w:val="6"/>
    <w:qFormat/>
    <w:uiPriority w:val="0"/>
    <w:pPr>
      <w:spacing w:before="280" w:after="290" w:line="377" w:lineRule="auto"/>
      <w:outlineLvl w:val="3"/>
    </w:pPr>
    <w:rPr>
      <w:rFonts w:ascii="Arial" w:hAnsi="Arial" w:eastAsia="黑体"/>
      <w:b/>
      <w:bCs/>
      <w:kern w:val="0"/>
      <w:sz w:val="28"/>
      <w:szCs w:val="28"/>
    </w:rPr>
  </w:style>
  <w:style w:type="character" w:default="1" w:styleId="19">
    <w:name w:val="Default Paragraph Font"/>
    <w:semiHidden/>
    <w:qFormat/>
    <w:uiPriority w:val="0"/>
  </w:style>
  <w:style w:type="table" w:default="1" w:styleId="18">
    <w:name w:val="Normal Table"/>
    <w:semiHidden/>
    <w:qFormat/>
    <w:uiPriority w:val="0"/>
    <w:tblPr>
      <w:tblCellMar>
        <w:top w:w="0" w:type="dxa"/>
        <w:left w:w="108" w:type="dxa"/>
        <w:bottom w:w="0" w:type="dxa"/>
        <w:right w:w="108" w:type="dxa"/>
      </w:tblCellMar>
    </w:tblPr>
  </w:style>
  <w:style w:type="paragraph" w:customStyle="1" w:styleId="2">
    <w:name w:val="标题 5（有编号）（绿盟科技）"/>
    <w:basedOn w:val="1"/>
    <w:next w:val="3"/>
    <w:qFormat/>
    <w:uiPriority w:val="0"/>
    <w:pPr>
      <w:keepNext/>
      <w:keepLines/>
      <w:numPr>
        <w:ilvl w:val="4"/>
        <w:numId w:val="1"/>
      </w:numPr>
      <w:spacing w:before="280" w:after="156" w:line="377" w:lineRule="auto"/>
      <w:jc w:val="left"/>
      <w:outlineLvl w:val="4"/>
    </w:pPr>
    <w:rPr>
      <w:rFonts w:ascii="Arial" w:hAnsi="Arial" w:eastAsia="黑体"/>
      <w:b/>
      <w:sz w:val="24"/>
      <w:szCs w:val="28"/>
    </w:rPr>
  </w:style>
  <w:style w:type="paragraph" w:customStyle="1" w:styleId="3">
    <w:name w:val="正文（绿盟科技）"/>
    <w:qFormat/>
    <w:uiPriority w:val="0"/>
    <w:pPr>
      <w:spacing w:line="300" w:lineRule="auto"/>
    </w:pPr>
    <w:rPr>
      <w:rFonts w:ascii="Arial" w:hAnsi="Arial" w:eastAsia="宋体" w:cs="黑体"/>
      <w:sz w:val="21"/>
      <w:szCs w:val="21"/>
      <w:lang w:val="en-US" w:eastAsia="zh-CN" w:bidi="ar-SA"/>
    </w:rPr>
  </w:style>
  <w:style w:type="paragraph" w:styleId="6">
    <w:name w:val="Normal Indent"/>
    <w:basedOn w:val="1"/>
    <w:unhideWhenUsed/>
    <w:qFormat/>
    <w:uiPriority w:val="0"/>
    <w:pPr>
      <w:ind w:firstLine="420" w:firstLineChars="200"/>
    </w:pPr>
  </w:style>
  <w:style w:type="paragraph" w:styleId="7">
    <w:name w:val="annotation text"/>
    <w:basedOn w:val="1"/>
    <w:semiHidden/>
    <w:qFormat/>
    <w:uiPriority w:val="0"/>
    <w:pPr>
      <w:jc w:val="left"/>
    </w:pPr>
  </w:style>
  <w:style w:type="paragraph" w:styleId="8">
    <w:name w:val="Body Text Indent"/>
    <w:basedOn w:val="1"/>
    <w:link w:val="23"/>
    <w:qFormat/>
    <w:uiPriority w:val="0"/>
    <w:pPr>
      <w:tabs>
        <w:tab w:val="left" w:pos="0"/>
        <w:tab w:val="left" w:pos="993"/>
        <w:tab w:val="left" w:pos="1134"/>
      </w:tabs>
      <w:spacing w:line="500" w:lineRule="exact"/>
      <w:ind w:firstLine="567"/>
    </w:pPr>
    <w:rPr>
      <w:rFonts w:ascii="宋体"/>
      <w:sz w:val="28"/>
    </w:rPr>
  </w:style>
  <w:style w:type="paragraph" w:styleId="9">
    <w:name w:val="Plain Text"/>
    <w:basedOn w:val="1"/>
    <w:link w:val="24"/>
    <w:qFormat/>
    <w:uiPriority w:val="0"/>
    <w:rPr>
      <w:rFonts w:ascii="宋体" w:hAnsi="Courier New" w:cs="Courier New"/>
      <w:szCs w:val="21"/>
    </w:rPr>
  </w:style>
  <w:style w:type="paragraph" w:styleId="10">
    <w:name w:val="Date"/>
    <w:basedOn w:val="1"/>
    <w:next w:val="1"/>
    <w:link w:val="25"/>
    <w:qFormat/>
    <w:uiPriority w:val="0"/>
    <w:rPr>
      <w:rFonts w:eastAsia="仿宋_GB2312"/>
      <w:sz w:val="30"/>
    </w:rPr>
  </w:style>
  <w:style w:type="paragraph" w:styleId="11">
    <w:name w:val="Balloon Text"/>
    <w:basedOn w:val="1"/>
    <w:semiHidden/>
    <w:qFormat/>
    <w:uiPriority w:val="0"/>
    <w:rPr>
      <w:sz w:val="18"/>
      <w:szCs w:val="18"/>
    </w:rPr>
  </w:style>
  <w:style w:type="paragraph" w:styleId="12">
    <w:name w:val="footer"/>
    <w:basedOn w:val="1"/>
    <w:link w:val="26"/>
    <w:qFormat/>
    <w:uiPriority w:val="99"/>
    <w:pPr>
      <w:tabs>
        <w:tab w:val="center" w:pos="4153"/>
        <w:tab w:val="right" w:pos="8306"/>
      </w:tabs>
      <w:snapToGrid w:val="0"/>
      <w:jc w:val="left"/>
    </w:pPr>
    <w:rPr>
      <w:sz w:val="18"/>
      <w:szCs w:val="18"/>
    </w:rPr>
  </w:style>
  <w:style w:type="paragraph" w:styleId="1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4">
    <w:name w:val="Body Text Indent 3"/>
    <w:basedOn w:val="1"/>
    <w:link w:val="27"/>
    <w:qFormat/>
    <w:uiPriority w:val="0"/>
    <w:pPr>
      <w:spacing w:after="120"/>
      <w:ind w:left="420" w:leftChars="200"/>
    </w:pPr>
    <w:rPr>
      <w:sz w:val="16"/>
      <w:szCs w:val="16"/>
    </w:rPr>
  </w:style>
  <w:style w:type="paragraph" w:styleId="15">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6">
    <w:name w:val="Title"/>
    <w:basedOn w:val="1"/>
    <w:link w:val="28"/>
    <w:qFormat/>
    <w:uiPriority w:val="0"/>
    <w:pPr>
      <w:adjustRightInd w:val="0"/>
      <w:spacing w:before="240" w:after="60" w:line="420" w:lineRule="atLeast"/>
      <w:jc w:val="center"/>
      <w:textAlignment w:val="baseline"/>
      <w:outlineLvl w:val="0"/>
    </w:pPr>
    <w:rPr>
      <w:rFonts w:ascii="Arial" w:hAnsi="Arial"/>
      <w:b/>
      <w:kern w:val="0"/>
      <w:sz w:val="32"/>
      <w:szCs w:val="20"/>
    </w:rPr>
  </w:style>
  <w:style w:type="paragraph" w:styleId="17">
    <w:name w:val="Body Text First Indent 2"/>
    <w:basedOn w:val="8"/>
    <w:qFormat/>
    <w:uiPriority w:val="0"/>
    <w:pPr>
      <w:spacing w:after="120" w:line="240" w:lineRule="auto"/>
      <w:ind w:left="420" w:leftChars="200" w:firstLine="420" w:firstLineChars="200"/>
    </w:pPr>
    <w:rPr>
      <w:rFonts w:ascii="Calibri"/>
      <w:sz w:val="21"/>
      <w:lang w:val="en-US" w:eastAsia="zh-CN"/>
    </w:rPr>
  </w:style>
  <w:style w:type="character" w:styleId="20">
    <w:name w:val="Strong"/>
    <w:basedOn w:val="19"/>
    <w:qFormat/>
    <w:uiPriority w:val="0"/>
    <w:rPr>
      <w:b/>
    </w:rPr>
  </w:style>
  <w:style w:type="character" w:styleId="21">
    <w:name w:val="page number"/>
    <w:qFormat/>
    <w:uiPriority w:val="0"/>
  </w:style>
  <w:style w:type="character" w:customStyle="1" w:styleId="22">
    <w:name w:val="标题 3 字符"/>
    <w:link w:val="4"/>
    <w:qFormat/>
    <w:uiPriority w:val="0"/>
    <w:rPr>
      <w:rFonts w:ascii="Calibri" w:hAnsi="Calibri" w:eastAsia="宋体"/>
      <w:b/>
      <w:sz w:val="32"/>
      <w:lang w:bidi="ar-SA"/>
    </w:rPr>
  </w:style>
  <w:style w:type="character" w:customStyle="1" w:styleId="23">
    <w:name w:val="正文文本缩进 字符"/>
    <w:link w:val="8"/>
    <w:qFormat/>
    <w:uiPriority w:val="0"/>
    <w:rPr>
      <w:rFonts w:ascii="宋体" w:hAnsi="Calibri"/>
      <w:kern w:val="2"/>
      <w:sz w:val="28"/>
      <w:szCs w:val="22"/>
    </w:rPr>
  </w:style>
  <w:style w:type="character" w:customStyle="1" w:styleId="24">
    <w:name w:val="纯文本 字符"/>
    <w:link w:val="9"/>
    <w:qFormat/>
    <w:uiPriority w:val="0"/>
    <w:rPr>
      <w:rFonts w:ascii="宋体" w:hAnsi="Courier New" w:eastAsia="宋体" w:cs="Courier New"/>
      <w:kern w:val="2"/>
      <w:sz w:val="21"/>
      <w:szCs w:val="21"/>
      <w:lang w:val="en-US" w:eastAsia="zh-CN" w:bidi="ar-SA"/>
    </w:rPr>
  </w:style>
  <w:style w:type="character" w:customStyle="1" w:styleId="25">
    <w:name w:val="日期 字符"/>
    <w:link w:val="10"/>
    <w:qFormat/>
    <w:uiPriority w:val="0"/>
    <w:rPr>
      <w:rFonts w:ascii="Calibri" w:hAnsi="Calibri" w:eastAsia="仿宋_GB2312"/>
      <w:kern w:val="2"/>
      <w:sz w:val="30"/>
      <w:szCs w:val="22"/>
    </w:rPr>
  </w:style>
  <w:style w:type="character" w:customStyle="1" w:styleId="26">
    <w:name w:val="页脚 字符"/>
    <w:link w:val="12"/>
    <w:qFormat/>
    <w:uiPriority w:val="99"/>
    <w:rPr>
      <w:rFonts w:ascii="Calibri" w:hAnsi="Calibri"/>
      <w:kern w:val="2"/>
      <w:sz w:val="18"/>
      <w:szCs w:val="18"/>
    </w:rPr>
  </w:style>
  <w:style w:type="character" w:customStyle="1" w:styleId="27">
    <w:name w:val="正文文本缩进 3 字符"/>
    <w:link w:val="14"/>
    <w:qFormat/>
    <w:uiPriority w:val="0"/>
    <w:rPr>
      <w:rFonts w:ascii="Calibri" w:hAnsi="Calibri"/>
      <w:kern w:val="2"/>
      <w:sz w:val="16"/>
      <w:szCs w:val="16"/>
    </w:rPr>
  </w:style>
  <w:style w:type="character" w:customStyle="1" w:styleId="28">
    <w:name w:val="标题 字符"/>
    <w:link w:val="16"/>
    <w:qFormat/>
    <w:uiPriority w:val="0"/>
    <w:rPr>
      <w:rFonts w:ascii="Arial" w:hAnsi="Arial" w:eastAsia="宋体"/>
      <w:b/>
      <w:sz w:val="32"/>
      <w:lang w:bidi="ar-SA"/>
    </w:rPr>
  </w:style>
  <w:style w:type="paragraph" w:customStyle="1" w:styleId="29">
    <w:name w:val="Normal_2"/>
    <w:qFormat/>
    <w:uiPriority w:val="0"/>
    <w:rPr>
      <w:rFonts w:ascii="Times New Roman" w:hAnsi="Times New Roman" w:eastAsia="宋体" w:cs="Times New Roman"/>
      <w:sz w:val="24"/>
      <w:szCs w:val="24"/>
      <w:lang w:val="en-US" w:eastAsia="zh-CN" w:bidi="ar-SA"/>
    </w:rPr>
  </w:style>
  <w:style w:type="paragraph" w:customStyle="1" w:styleId="30">
    <w:name w:val="Normal_0"/>
    <w:qFormat/>
    <w:uiPriority w:val="0"/>
    <w:rPr>
      <w:rFonts w:ascii="Times New Roman" w:hAnsi="Times New Roman" w:eastAsia="宋体" w:cs="Times New Roman"/>
      <w:sz w:val="24"/>
      <w:szCs w:val="24"/>
      <w:lang w:val="en-US" w:eastAsia="zh-CN" w:bidi="ar-SA"/>
    </w:rPr>
  </w:style>
  <w:style w:type="paragraph" w:customStyle="1" w:styleId="31">
    <w:name w:val="正文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32">
    <w:name w:val="Blockquote"/>
    <w:basedOn w:val="1"/>
    <w:qFormat/>
    <w:uiPriority w:val="0"/>
    <w:pPr>
      <w:autoSpaceDE w:val="0"/>
      <w:autoSpaceDN w:val="0"/>
      <w:adjustRightInd w:val="0"/>
      <w:spacing w:before="100" w:after="100"/>
      <w:ind w:left="360" w:right="360"/>
      <w:jc w:val="left"/>
    </w:pPr>
    <w:rPr>
      <w:rFonts w:ascii="Times New Roman" w:hAnsi="Times New Roman"/>
      <w:kern w:val="0"/>
      <w:sz w:val="24"/>
      <w:szCs w:val="20"/>
    </w:rPr>
  </w:style>
  <w:style w:type="paragraph" w:customStyle="1" w:styleId="33">
    <w:name w:val="Normal_1"/>
    <w:qFormat/>
    <w:uiPriority w:val="0"/>
    <w:rPr>
      <w:rFonts w:ascii="Times New Roman" w:hAnsi="Times New Roman" w:eastAsia="宋体" w:cs="Times New Roman"/>
      <w:sz w:val="24"/>
      <w:szCs w:val="24"/>
      <w:lang w:val="en-US" w:eastAsia="zh-CN" w:bidi="ar-SA"/>
    </w:rPr>
  </w:style>
  <w:style w:type="paragraph" w:customStyle="1" w:styleId="34">
    <w:name w:val="Body text|1"/>
    <w:basedOn w:val="1"/>
    <w:qFormat/>
    <w:uiPriority w:val="0"/>
    <w:pPr>
      <w:spacing w:line="422" w:lineRule="auto"/>
      <w:ind w:firstLine="400"/>
    </w:pPr>
    <w:rPr>
      <w:rFonts w:ascii="宋体" w:hAnsi="宋体" w:cs="宋体"/>
      <w:sz w:val="18"/>
      <w:szCs w:val="18"/>
      <w:lang w:val="zh-TW" w:eastAsia="zh-TW" w:bidi="zh-TW"/>
    </w:rPr>
  </w:style>
</w:styles>
</file>

<file path=word/_rels/document.xml.rels><?xml version="1.0" encoding="UTF-8" standalone="yes"?>
<Relationships xmlns="http://schemas.openxmlformats.org/package/2006/relationships"><Relationship Id="rId8" Type="http://schemas.microsoft.com/office/2011/relationships/people" Target="people.xml"/><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30</Pages>
  <Words>11916</Words>
  <Characters>12360</Characters>
  <Lines>98</Lines>
  <Paragraphs>27</Paragraphs>
  <TotalTime>9</TotalTime>
  <ScaleCrop>false</ScaleCrop>
  <LinksUpToDate>false</LinksUpToDate>
  <CharactersWithSpaces>13933</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2022-03-16T08:40:00Z</dcterms:created>
  <dc:creator>微软用户</dc:creator>
  <cp:lastModifiedBy>胡雨</cp:lastModifiedBy>
  <cp:lastPrinted>2026-05-27T03:27:00Z</cp:lastPrinted>
  <dcterms:modified xsi:type="dcterms:W3CDTF">2026-05-27T07:00:15Z</dcterms:modified>
  <dc:title>扬州市工程</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7FDE7BA75B0D4E5FBE494B3F9EBA2615_13</vt:lpwstr>
  </property>
  <property fmtid="{D5CDD505-2E9C-101B-9397-08002B2CF9AE}" pid="4" name="KSOTemplateDocerSaveRecord">
    <vt:lpwstr>eyJoZGlkIjoiZjVhZjEwZjg5ODdiNTFkMWM2Mzk5ODE5M2U0NGQ3MWUiLCJ1c2VySWQiOiIxNjQ1Mzc4NjcwIn0=</vt:lpwstr>
  </property>
</Properties>
</file>