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6"/>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0B686DA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GZ386东出口项目</w:t>
      </w:r>
    </w:p>
    <w:p w14:paraId="426F053D">
      <w:pPr>
        <w:jc w:val="center"/>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金属栏杆材料采购（二次）</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bookmarkStart w:id="2" w:name="_GoBack"/>
      <w:bookmarkEnd w:id="2"/>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00B4A65">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hint="eastAsia" w:ascii="方正仿宋_GBK" w:hAnsi="方正仿宋_GBK" w:eastAsia="方正仿宋_GBK" w:cs="方正仿宋_GBK"/>
          <w:b/>
          <w:bCs/>
          <w:snapToGrid w:val="0"/>
          <w:sz w:val="30"/>
          <w:u w:val="single"/>
          <w:lang w:val="en-US" w:eastAsia="zh-CN"/>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方正仿宋_GBK" w:hAnsi="方正仿宋_GBK" w:eastAsia="方正仿宋_GBK" w:cs="方正仿宋_GBK"/>
          <w:b/>
          <w:bCs/>
          <w:snapToGrid w:val="0"/>
          <w:sz w:val="30"/>
          <w:u w:val="single"/>
          <w:lang w:val="en-US" w:eastAsia="zh-CN"/>
        </w:rPr>
        <w:t>2025</w:t>
      </w:r>
      <w:r>
        <w:rPr>
          <w:rFonts w:hint="eastAsia" w:ascii="方正仿宋_GBK" w:hAnsi="方正仿宋_GBK" w:eastAsia="方正仿宋_GBK" w:cs="方正仿宋_GBK"/>
          <w:b/>
          <w:bCs/>
          <w:snapToGrid w:val="0"/>
          <w:sz w:val="30"/>
          <w:u w:val="none"/>
          <w:lang w:val="en-US" w:eastAsia="zh-CN"/>
        </w:rPr>
        <w:t>年</w:t>
      </w:r>
      <w:r>
        <w:rPr>
          <w:rFonts w:hint="eastAsia" w:ascii="方正仿宋_GBK" w:hAnsi="方正仿宋_GBK" w:eastAsia="方正仿宋_GBK" w:cs="方正仿宋_GBK"/>
          <w:b/>
          <w:bCs/>
          <w:snapToGrid w:val="0"/>
          <w:sz w:val="30"/>
          <w:u w:val="single"/>
          <w:lang w:val="en-US" w:eastAsia="zh-CN"/>
        </w:rPr>
        <w:t>12</w:t>
      </w:r>
      <w:r>
        <w:rPr>
          <w:rFonts w:hint="eastAsia" w:ascii="方正仿宋_GBK" w:hAnsi="方正仿宋_GBK" w:eastAsia="方正仿宋_GBK" w:cs="方正仿宋_GBK"/>
          <w:b/>
          <w:bCs/>
          <w:snapToGrid w:val="0"/>
          <w:sz w:val="30"/>
          <w:u w:val="none"/>
          <w:lang w:val="en-US" w:eastAsia="zh-CN"/>
        </w:rPr>
        <w:t>月</w:t>
      </w:r>
      <w:r>
        <w:rPr>
          <w:rFonts w:hint="eastAsia" w:ascii="方正仿宋_GBK" w:hAnsi="方正仿宋_GBK" w:eastAsia="方正仿宋_GBK" w:cs="方正仿宋_GBK"/>
          <w:b/>
          <w:bCs/>
          <w:snapToGrid w:val="0"/>
          <w:sz w:val="30"/>
          <w:u w:val="single"/>
          <w:lang w:val="en-US" w:eastAsia="zh-CN"/>
        </w:rPr>
        <w:t>5</w:t>
      </w:r>
      <w:r>
        <w:rPr>
          <w:rFonts w:hint="eastAsia" w:ascii="方正仿宋_GBK" w:hAnsi="方正仿宋_GBK" w:eastAsia="方正仿宋_GBK" w:cs="方正仿宋_GBK"/>
          <w:b/>
          <w:bCs/>
          <w:snapToGrid w:val="0"/>
          <w:sz w:val="30"/>
          <w:u w:val="none"/>
          <w:lang w:val="en-US" w:eastAsia="zh-CN"/>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57"/>
        <w:gridCol w:w="1942"/>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57"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74AA16D">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GZ386东出口项目</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57"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57"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57"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57"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57"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57"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57"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 xml:space="preserve"> 5</w:t>
            </w:r>
            <w:r>
              <w:rPr>
                <w:rFonts w:hint="eastAsia" w:ascii="宋体" w:hAnsi="宋体"/>
                <w:color w:val="auto"/>
                <w:szCs w:val="21"/>
              </w:rPr>
              <w:t>日——202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s="Times New Roman"/>
                <w:color w:val="auto"/>
                <w:szCs w:val="21"/>
                <w:lang w:val="en-US" w:eastAsia="zh-CN"/>
              </w:rPr>
              <w:t xml:space="preserve"> 16</w:t>
            </w:r>
            <w:r>
              <w:rPr>
                <w:rFonts w:hint="eastAsia" w:ascii="宋体" w:hAnsi="宋体" w:cs="Times New Roman"/>
                <w:color w:val="auto"/>
                <w:szCs w:val="21"/>
              </w:rPr>
              <w:t>点</w:t>
            </w:r>
            <w:r>
              <w:rPr>
                <w:rFonts w:hint="eastAsia" w:ascii="宋体" w:hAnsi="宋体" w:cs="Times New Roman"/>
                <w:color w:val="auto"/>
                <w:szCs w:val="21"/>
                <w:lang w:val="en-US" w:eastAsia="zh-CN"/>
              </w:rPr>
              <w:t>00</w:t>
            </w:r>
            <w:r>
              <w:rPr>
                <w:rFonts w:hint="eastAsia" w:ascii="宋体" w:hAnsi="宋体" w:cs="Times New Roman"/>
                <w:color w:val="auto"/>
                <w:szCs w:val="21"/>
              </w:rPr>
              <w:t>分（北京时间）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57"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72"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57"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4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auto"/>
                <w:szCs w:val="21"/>
              </w:rPr>
              <w:t>扬州市立新路14号2楼小会议室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57"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57"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57"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因GZ386东出口项目需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val="0"/>
          <w:bCs/>
          <w:szCs w:val="21"/>
          <w:lang w:eastAsia="zh-CN"/>
        </w:rPr>
        <w:t>GZ386东出口项目</w:t>
      </w:r>
      <w:r>
        <w:rPr>
          <w:rFonts w:hint="eastAsia" w:ascii="宋体" w:hAnsi="宋体"/>
          <w:szCs w:val="21"/>
          <w:lang w:val="en-US" w:eastAsia="zh-CN"/>
        </w:rPr>
        <w:t>材料采购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79"/>
        <w:gridCol w:w="1350"/>
        <w:gridCol w:w="750"/>
        <w:gridCol w:w="915"/>
        <w:gridCol w:w="1575"/>
        <w:gridCol w:w="1590"/>
        <w:gridCol w:w="1530"/>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6" w:type="dxa"/>
            <w:shd w:val="clear" w:color="auto" w:fill="auto"/>
            <w:vAlign w:val="center"/>
          </w:tcPr>
          <w:p w14:paraId="51E9DF18">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1479" w:type="dxa"/>
            <w:shd w:val="clear" w:color="auto" w:fill="auto"/>
            <w:vAlign w:val="center"/>
          </w:tcPr>
          <w:p w14:paraId="69BE5FD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350" w:type="dxa"/>
            <w:shd w:val="clear" w:color="auto" w:fill="auto"/>
            <w:vAlign w:val="center"/>
          </w:tcPr>
          <w:p w14:paraId="7063CC3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750" w:type="dxa"/>
            <w:shd w:val="clear" w:color="auto" w:fill="auto"/>
            <w:vAlign w:val="center"/>
          </w:tcPr>
          <w:p w14:paraId="3BAD5D81">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915" w:type="dxa"/>
            <w:shd w:val="clear" w:color="auto" w:fill="auto"/>
            <w:vAlign w:val="center"/>
          </w:tcPr>
          <w:p w14:paraId="2F6FC91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575" w:type="dxa"/>
            <w:shd w:val="clear" w:color="auto" w:fill="auto"/>
            <w:vAlign w:val="center"/>
          </w:tcPr>
          <w:p w14:paraId="1A6D60C5">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最高限价</w:t>
            </w:r>
          </w:p>
          <w:p w14:paraId="0FCEADCB">
            <w:pPr>
              <w:pStyle w:val="6"/>
              <w:ind w:left="0" w:leftChars="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元</w:t>
            </w:r>
          </w:p>
        </w:tc>
        <w:tc>
          <w:tcPr>
            <w:tcW w:w="1590" w:type="dxa"/>
            <w:shd w:val="clear" w:color="auto" w:fill="auto"/>
            <w:vAlign w:val="center"/>
          </w:tcPr>
          <w:p w14:paraId="57B94FDB">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总价</w:t>
            </w:r>
          </w:p>
          <w:p w14:paraId="204CA9B3">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）元</w:t>
            </w:r>
          </w:p>
        </w:tc>
        <w:tc>
          <w:tcPr>
            <w:tcW w:w="1530" w:type="dxa"/>
            <w:shd w:val="clear" w:color="auto" w:fill="auto"/>
            <w:vAlign w:val="center"/>
          </w:tcPr>
          <w:p w14:paraId="6B2ADE2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66" w:type="dxa"/>
            <w:vAlign w:val="center"/>
          </w:tcPr>
          <w:p w14:paraId="230599CE">
            <w:pPr>
              <w:jc w:val="center"/>
              <w:rPr>
                <w:rFonts w:hint="default"/>
                <w:vertAlign w:val="baseline"/>
                <w:lang w:val="en-US" w:eastAsia="zh-CN"/>
              </w:rPr>
            </w:pPr>
            <w:r>
              <w:rPr>
                <w:rFonts w:hint="eastAsia"/>
                <w:vertAlign w:val="baseline"/>
                <w:lang w:val="en-US" w:eastAsia="zh-CN"/>
              </w:rPr>
              <w:t>1</w:t>
            </w:r>
          </w:p>
        </w:tc>
        <w:tc>
          <w:tcPr>
            <w:tcW w:w="1479"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金属栏杆</w:t>
            </w:r>
          </w:p>
        </w:tc>
        <w:tc>
          <w:tcPr>
            <w:tcW w:w="1350" w:type="dxa"/>
            <w:vAlign w:val="center"/>
          </w:tcPr>
          <w:p w14:paraId="495645EC">
            <w:pPr>
              <w:keepNext w:val="0"/>
              <w:keepLines w:val="0"/>
              <w:widowControl/>
              <w:suppressLineNumbers w:val="0"/>
              <w:jc w:val="center"/>
              <w:textAlignment w:val="center"/>
              <w:rPr>
                <w:rFonts w:hint="default"/>
                <w:vertAlign w:val="baseline"/>
                <w:lang w:val="en-US" w:eastAsia="zh-CN"/>
              </w:rPr>
            </w:pPr>
          </w:p>
        </w:tc>
        <w:tc>
          <w:tcPr>
            <w:tcW w:w="750"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15"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100.24</w:t>
            </w:r>
          </w:p>
        </w:tc>
        <w:tc>
          <w:tcPr>
            <w:tcW w:w="1575"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3300</w:t>
            </w:r>
          </w:p>
        </w:tc>
        <w:tc>
          <w:tcPr>
            <w:tcW w:w="1590"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330792</w:t>
            </w:r>
          </w:p>
        </w:tc>
        <w:tc>
          <w:tcPr>
            <w:tcW w:w="1530" w:type="dxa"/>
            <w:vAlign w:val="center"/>
          </w:tcPr>
          <w:p w14:paraId="5E75AF30">
            <w:pPr>
              <w:jc w:val="center"/>
              <w:rPr>
                <w:rFonts w:hint="default"/>
                <w:vertAlign w:val="baseline"/>
                <w:lang w:val="en-US" w:eastAsia="zh-CN"/>
              </w:rPr>
            </w:pPr>
            <w:r>
              <w:rPr>
                <w:rFonts w:hint="eastAsia"/>
                <w:vertAlign w:val="baseline"/>
                <w:lang w:val="en-US" w:eastAsia="zh-CN"/>
              </w:rPr>
              <w:t>包安装、预埋件，灯光效果</w:t>
            </w: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6" w:type="dxa"/>
            <w:vAlign w:val="center"/>
          </w:tcPr>
          <w:p w14:paraId="7462B7B2">
            <w:pPr>
              <w:jc w:val="center"/>
              <w:rPr>
                <w:rFonts w:hint="default"/>
                <w:vertAlign w:val="baseline"/>
                <w:lang w:val="en-US" w:eastAsia="zh-CN"/>
              </w:rPr>
            </w:pPr>
            <w:r>
              <w:rPr>
                <w:rFonts w:hint="eastAsia"/>
                <w:vertAlign w:val="baseline"/>
                <w:lang w:val="en-US" w:eastAsia="zh-CN"/>
              </w:rPr>
              <w:t>合计</w:t>
            </w:r>
          </w:p>
        </w:tc>
        <w:tc>
          <w:tcPr>
            <w:tcW w:w="1479" w:type="dxa"/>
            <w:vAlign w:val="center"/>
          </w:tcPr>
          <w:p w14:paraId="4261A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14:paraId="317C8DB3">
            <w:pPr>
              <w:jc w:val="center"/>
              <w:rPr>
                <w:rFonts w:hint="default"/>
                <w:vertAlign w:val="baseline"/>
                <w:lang w:val="en-US" w:eastAsia="zh-CN"/>
              </w:rPr>
            </w:pPr>
          </w:p>
        </w:tc>
        <w:tc>
          <w:tcPr>
            <w:tcW w:w="750" w:type="dxa"/>
            <w:shd w:val="clear" w:color="auto" w:fill="auto"/>
            <w:vAlign w:val="center"/>
          </w:tcPr>
          <w:p w14:paraId="5375D21B">
            <w:pPr>
              <w:keepNext w:val="0"/>
              <w:keepLines w:val="0"/>
              <w:widowControl/>
              <w:suppressLineNumbers w:val="0"/>
              <w:jc w:val="center"/>
              <w:textAlignment w:val="center"/>
              <w:rPr>
                <w:rFonts w:hint="default"/>
                <w:vertAlign w:val="baseline"/>
                <w:lang w:val="en-US" w:eastAsia="zh-CN"/>
              </w:rPr>
            </w:pPr>
          </w:p>
        </w:tc>
        <w:tc>
          <w:tcPr>
            <w:tcW w:w="915" w:type="dxa"/>
            <w:vAlign w:val="center"/>
          </w:tcPr>
          <w:p w14:paraId="35A66DCF">
            <w:pPr>
              <w:keepNext w:val="0"/>
              <w:keepLines w:val="0"/>
              <w:widowControl/>
              <w:suppressLineNumbers w:val="0"/>
              <w:jc w:val="center"/>
              <w:textAlignment w:val="center"/>
              <w:rPr>
                <w:rFonts w:hint="default"/>
                <w:vertAlign w:val="baseline"/>
                <w:lang w:val="en-US" w:eastAsia="zh-CN"/>
              </w:rPr>
            </w:pPr>
          </w:p>
        </w:tc>
        <w:tc>
          <w:tcPr>
            <w:tcW w:w="1575" w:type="dxa"/>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1590" w:type="dxa"/>
            <w:shd w:val="clear" w:color="auto" w:fill="auto"/>
            <w:vAlign w:val="center"/>
          </w:tcPr>
          <w:p w14:paraId="75205A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330792</w:t>
            </w:r>
          </w:p>
        </w:tc>
        <w:tc>
          <w:tcPr>
            <w:tcW w:w="1530" w:type="dxa"/>
            <w:vAlign w:val="center"/>
          </w:tcPr>
          <w:p w14:paraId="629E1A63">
            <w:pPr>
              <w:jc w:val="center"/>
              <w:rPr>
                <w:rFonts w:hint="default"/>
                <w:vertAlign w:val="baseline"/>
                <w:lang w:val="en-US" w:eastAsia="zh-CN"/>
              </w:rPr>
            </w:pPr>
          </w:p>
        </w:tc>
      </w:tr>
    </w:tbl>
    <w:p w14:paraId="620F7424">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3、结算方式：中标材料单价（含13%税）*对应材料数量=结算总价（含13%税）</w:t>
      </w:r>
    </w:p>
    <w:p w14:paraId="6EC04251">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4、技术参数：</w:t>
      </w:r>
    </w:p>
    <w:p w14:paraId="686B6BB9">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1、景观装饰护栏采用铝合金型材与板材组合拼装完成，材质采用6063-T5,相关材料物理性能均需满足国家相关规范要求。</w:t>
      </w:r>
    </w:p>
    <w:p w14:paraId="08328086">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2、风凰采用2.0mm摩铝合金板材加工，要求完成后的景观浮雕层次分明，衔接曲线自然平滑。</w:t>
      </w:r>
    </w:p>
    <w:p w14:paraId="52F99BE1">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3、护栏整体造型考虑多种颜色搭配使用，生动体现景观造型与层次，提升桥梁观赏性与景观性。</w:t>
      </w:r>
    </w:p>
    <w:p w14:paraId="7F6233BD">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4、景观护栏立杆竖向净间距不得大于11cm,护栏整体固定于桥梁侧边，不占用通行空间的同时展示了相关主题和文化，护栏底部设置钢横梁，确保结构整体稳定性与安全性。</w:t>
      </w:r>
    </w:p>
    <w:p w14:paraId="61FD0B9B">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5、景观护栏设置灯光夜景，风凰造型轮廊与云纹浮雕暗藏灯带，风冠等局部位置设置点光源，严格做到见光不见灯的要求，并且需进行防眩光实验，照亮行人的同时提升夜间景观效果。</w:t>
      </w:r>
    </w:p>
    <w:p w14:paraId="31C7F104">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6、伸缩缝处设置双立柱。预留出足够的伸缩空间。</w:t>
      </w:r>
    </w:p>
    <w:p w14:paraId="2EAB0B72">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7、本次栏杆防护总高度从人行道顶面至扶手顶面不小于1,1m。</w:t>
      </w:r>
    </w:p>
    <w:p w14:paraId="6233FCE3">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8、作用在桥上人行道栏杆扶手上的竖向荷载应为1.2KN/m:水平荷载应为2.5KN/m。</w:t>
      </w:r>
    </w:p>
    <w:p w14:paraId="11F638AA">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9、投标单位需根据现场实际情况进行二次深化，经甲方审核确认后方可进行生产加工。</w:t>
      </w:r>
    </w:p>
    <w:p w14:paraId="3099652B">
      <w:pPr>
        <w:numPr>
          <w:ilvl w:val="0"/>
          <w:numId w:val="0"/>
        </w:numPr>
        <w:autoSpaceDE w:val="0"/>
        <w:autoSpaceDN w:val="0"/>
        <w:adjustRightInd w:val="0"/>
        <w:snapToGrid w:val="0"/>
        <w:spacing w:line="480" w:lineRule="exact"/>
        <w:ind w:leftChars="0" w:firstLine="420" w:firstLineChars="200"/>
        <w:rPr>
          <w:rFonts w:hint="default" w:ascii="宋体" w:hAnsi="宋体"/>
          <w:color w:val="FF0000"/>
          <w:szCs w:val="21"/>
          <w:lang w:val="en-US" w:eastAsia="zh-CN"/>
        </w:rPr>
      </w:pPr>
      <w:r>
        <w:rPr>
          <w:rFonts w:hint="eastAsia" w:ascii="宋体" w:hAnsi="宋体"/>
          <w:color w:val="FF0000"/>
          <w:szCs w:val="21"/>
          <w:lang w:val="en-US" w:eastAsia="zh-CN"/>
        </w:rPr>
        <w:t>10、具体技术参数详见图纸。</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BF5298">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5953615E">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投标价格为材料送达招标方指定地点的价格，</w:t>
      </w:r>
      <w:r>
        <w:rPr>
          <w:rFonts w:hint="eastAsia" w:ascii="宋体" w:hAnsi="宋体"/>
          <w:color w:val="FF0000"/>
          <w:szCs w:val="21"/>
          <w:lang w:val="en-US" w:eastAsia="zh-CN"/>
        </w:rPr>
        <w:t>报价含运费、安装、预埋件，灯光效果、卸货费用，</w:t>
      </w:r>
      <w:r>
        <w:rPr>
          <w:rFonts w:hint="eastAsia" w:ascii="宋体" w:hAnsi="宋体"/>
          <w:szCs w:val="21"/>
          <w:lang w:val="en-US" w:eastAsia="zh-CN"/>
        </w:rPr>
        <w:t>须提供投标书及报价清单</w:t>
      </w:r>
      <w:r>
        <w:rPr>
          <w:rFonts w:hint="eastAsia" w:ascii="宋体" w:hAnsi="宋体"/>
          <w:szCs w:val="21"/>
        </w:rPr>
        <w:t>。</w:t>
      </w:r>
    </w:p>
    <w:p w14:paraId="77150B3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2CC5AE1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eastAsia="zh-CN"/>
        </w:rPr>
        <w:t>。</w:t>
      </w:r>
    </w:p>
    <w:p w14:paraId="55A40178">
      <w:pPr>
        <w:pStyle w:val="19"/>
        <w:spacing w:before="0" w:beforeAutospacing="0" w:after="0" w:afterAutospacing="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 xml:space="preserve"> 5、投标单位须提供1份近3年</w:t>
      </w:r>
      <w:r>
        <w:rPr>
          <w:rFonts w:hint="eastAsia" w:ascii="宋体" w:hAnsi="宋体" w:eastAsia="宋体" w:cs="Times New Roman"/>
          <w:b w:val="0"/>
          <w:color w:val="FF0000"/>
          <w:kern w:val="2"/>
          <w:sz w:val="21"/>
          <w:szCs w:val="21"/>
          <w:lang w:val="en-US" w:eastAsia="zh-CN" w:bidi="ar-SA"/>
        </w:rPr>
        <w:t>金属栏杆</w:t>
      </w:r>
      <w:r>
        <w:rPr>
          <w:rFonts w:hint="eastAsia" w:ascii="宋体" w:hAnsi="宋体" w:eastAsia="宋体" w:cs="Times New Roman"/>
          <w:b w:val="0"/>
          <w:kern w:val="2"/>
          <w:sz w:val="21"/>
          <w:szCs w:val="21"/>
          <w:lang w:val="en-US" w:eastAsia="zh-CN" w:bidi="ar-SA"/>
        </w:rPr>
        <w:t>材料供货业绩（合同金额17万元及以上），提供合同和发票复印件加盖公章，评标委员会会根据投标方提供的发票号码，在国家税务总局全国增值税发票查询平台进行核实，如发现一次虚假将作为废标处理”。</w:t>
      </w:r>
    </w:p>
    <w:p w14:paraId="40CD30AA">
      <w:pPr>
        <w:autoSpaceDE w:val="0"/>
        <w:autoSpaceDN w:val="0"/>
        <w:adjustRightInd w:val="0"/>
        <w:snapToGrid w:val="0"/>
        <w:spacing w:beforeAutospacing="0"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6、投标单位须提供质量承诺书。</w:t>
      </w:r>
    </w:p>
    <w:p w14:paraId="11DC297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投标单位须</w:t>
      </w:r>
      <w:r>
        <w:rPr>
          <w:rFonts w:hint="eastAsia" w:ascii="宋体" w:hAnsi="宋体"/>
          <w:szCs w:val="21"/>
          <w:lang w:val="en-US" w:eastAsia="zh-CN"/>
        </w:rPr>
        <w:t>提供一般纳税人证明。</w:t>
      </w:r>
    </w:p>
    <w:p w14:paraId="64C2FC4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w:t>
      </w:r>
    </w:p>
    <w:p w14:paraId="7FECAD8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w:t>
      </w:r>
      <w:r>
        <w:rPr>
          <w:rFonts w:hint="eastAsia" w:ascii="宋体" w:hAnsi="宋体"/>
          <w:color w:val="FF0000"/>
          <w:szCs w:val="21"/>
          <w:lang w:eastAsia="zh-CN"/>
        </w:rPr>
        <w:t>、</w:t>
      </w:r>
      <w:r>
        <w:rPr>
          <w:rFonts w:hint="eastAsia" w:ascii="宋体" w:hAnsi="宋体"/>
          <w:color w:val="FF0000"/>
          <w:szCs w:val="21"/>
          <w:lang w:val="en-US" w:eastAsia="zh-CN"/>
        </w:rPr>
        <w:t>卸货费用</w:t>
      </w:r>
      <w:r>
        <w:rPr>
          <w:rFonts w:hint="eastAsia" w:ascii="宋体" w:hAnsi="宋体"/>
          <w:color w:val="FF0000"/>
          <w:szCs w:val="21"/>
        </w:rPr>
        <w:t>）、供货时间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000000"/>
          <w:szCs w:val="21"/>
          <w:lang w:val="en-US" w:eastAsia="zh-CN"/>
        </w:rPr>
        <w:t>工程竣工验收合格后付至实际供货款的60%（不超过合同价的60%），工程完成外审付至实际供货量的70%（不超过合同价的70%），工程完成财审或扬州市审计局专项审计付至财审价或专项审计结果的97%，二年质保期满后，付清尾款（无息）。</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34D97EC6">
      <w:pPr>
        <w:autoSpaceDE w:val="0"/>
        <w:autoSpaceDN w:val="0"/>
        <w:adjustRightInd w:val="0"/>
        <w:snapToGrid w:val="0"/>
        <w:spacing w:line="480" w:lineRule="exact"/>
        <w:ind w:firstLine="561"/>
        <w:rPr>
          <w:rFonts w:hint="eastAsia" w:ascii="宋体" w:hAnsi="宋体"/>
          <w:color w:val="000000"/>
          <w:szCs w:val="21"/>
        </w:rPr>
      </w:pPr>
    </w:p>
    <w:p w14:paraId="327F4F1E">
      <w:pPr>
        <w:autoSpaceDE w:val="0"/>
        <w:autoSpaceDN w:val="0"/>
        <w:adjustRightInd w:val="0"/>
        <w:snapToGrid w:val="0"/>
        <w:spacing w:line="480" w:lineRule="exact"/>
        <w:ind w:firstLine="561"/>
        <w:rPr>
          <w:rFonts w:hint="eastAsia" w:ascii="宋体" w:hAnsi="宋体"/>
          <w:color w:val="000000"/>
          <w:szCs w:val="21"/>
        </w:rPr>
      </w:pPr>
    </w:p>
    <w:p w14:paraId="33F0232C">
      <w:pPr>
        <w:autoSpaceDE w:val="0"/>
        <w:autoSpaceDN w:val="0"/>
        <w:adjustRightInd w:val="0"/>
        <w:snapToGrid w:val="0"/>
        <w:spacing w:line="480" w:lineRule="exact"/>
        <w:ind w:firstLine="561"/>
        <w:rPr>
          <w:rFonts w:hint="eastAsia" w:ascii="宋体" w:hAnsi="宋体"/>
          <w:color w:val="000000"/>
          <w:szCs w:val="21"/>
        </w:rPr>
      </w:pPr>
    </w:p>
    <w:p w14:paraId="6CF39CBF">
      <w:pPr>
        <w:autoSpaceDE w:val="0"/>
        <w:autoSpaceDN w:val="0"/>
        <w:adjustRightInd w:val="0"/>
        <w:snapToGrid w:val="0"/>
        <w:spacing w:line="480" w:lineRule="exact"/>
        <w:ind w:firstLine="561"/>
        <w:rPr>
          <w:rFonts w:hint="eastAsia" w:ascii="宋体" w:hAnsi="宋体"/>
          <w:color w:val="000000"/>
          <w:szCs w:val="21"/>
        </w:rPr>
      </w:pPr>
    </w:p>
    <w:p w14:paraId="0F671F2E">
      <w:pPr>
        <w:autoSpaceDE w:val="0"/>
        <w:autoSpaceDN w:val="0"/>
        <w:adjustRightInd w:val="0"/>
        <w:snapToGrid w:val="0"/>
        <w:spacing w:line="480" w:lineRule="exact"/>
        <w:ind w:firstLine="561"/>
        <w:rPr>
          <w:rFonts w:hint="eastAsia" w:ascii="宋体" w:hAnsi="宋体"/>
          <w:color w:val="000000"/>
          <w:szCs w:val="21"/>
        </w:rPr>
      </w:pPr>
    </w:p>
    <w:p w14:paraId="15B382D1">
      <w:pPr>
        <w:autoSpaceDE w:val="0"/>
        <w:autoSpaceDN w:val="0"/>
        <w:adjustRightInd w:val="0"/>
        <w:snapToGrid w:val="0"/>
        <w:spacing w:line="480" w:lineRule="exact"/>
        <w:ind w:firstLine="561"/>
        <w:rPr>
          <w:rFonts w:hint="eastAsia" w:ascii="宋体" w:hAnsi="宋体"/>
          <w:color w:val="000000"/>
          <w:szCs w:val="21"/>
        </w:rPr>
      </w:pPr>
    </w:p>
    <w:p w14:paraId="713F466C">
      <w:pPr>
        <w:autoSpaceDE w:val="0"/>
        <w:autoSpaceDN w:val="0"/>
        <w:adjustRightInd w:val="0"/>
        <w:snapToGrid w:val="0"/>
        <w:spacing w:line="480" w:lineRule="exact"/>
        <w:ind w:firstLine="561"/>
        <w:rPr>
          <w:rFonts w:hint="eastAsia" w:ascii="宋体" w:hAnsi="宋体"/>
          <w:color w:val="000000"/>
          <w:szCs w:val="21"/>
        </w:rPr>
      </w:pPr>
    </w:p>
    <w:p w14:paraId="30760722">
      <w:pPr>
        <w:autoSpaceDE w:val="0"/>
        <w:autoSpaceDN w:val="0"/>
        <w:adjustRightInd w:val="0"/>
        <w:snapToGrid w:val="0"/>
        <w:spacing w:line="480" w:lineRule="exact"/>
        <w:ind w:firstLine="561"/>
        <w:rPr>
          <w:rFonts w:hint="eastAsia" w:ascii="宋体" w:hAnsi="宋体"/>
          <w:color w:val="000000"/>
          <w:szCs w:val="21"/>
        </w:rPr>
      </w:pPr>
    </w:p>
    <w:p w14:paraId="08C1C43D">
      <w:pPr>
        <w:autoSpaceDE w:val="0"/>
        <w:autoSpaceDN w:val="0"/>
        <w:adjustRightInd w:val="0"/>
        <w:snapToGrid w:val="0"/>
        <w:spacing w:line="480" w:lineRule="exact"/>
        <w:ind w:firstLine="561"/>
        <w:rPr>
          <w:rFonts w:hint="eastAsia" w:ascii="宋体" w:hAnsi="宋体"/>
          <w:color w:val="000000"/>
          <w:szCs w:val="21"/>
        </w:rPr>
      </w:pPr>
    </w:p>
    <w:p w14:paraId="35589850">
      <w:pPr>
        <w:autoSpaceDE w:val="0"/>
        <w:autoSpaceDN w:val="0"/>
        <w:adjustRightInd w:val="0"/>
        <w:snapToGrid w:val="0"/>
        <w:spacing w:line="480" w:lineRule="exact"/>
        <w:ind w:firstLine="561"/>
        <w:rPr>
          <w:rFonts w:hint="eastAsia" w:ascii="宋体" w:hAnsi="宋体"/>
          <w:color w:val="000000"/>
          <w:szCs w:val="21"/>
        </w:rPr>
      </w:pPr>
    </w:p>
    <w:p w14:paraId="0E6AEC1C">
      <w:pPr>
        <w:autoSpaceDE w:val="0"/>
        <w:autoSpaceDN w:val="0"/>
        <w:adjustRightInd w:val="0"/>
        <w:snapToGrid w:val="0"/>
        <w:spacing w:line="480" w:lineRule="exact"/>
        <w:ind w:firstLine="561"/>
        <w:rPr>
          <w:rFonts w:hint="eastAsia" w:ascii="宋体" w:hAnsi="宋体"/>
          <w:color w:val="000000"/>
          <w:szCs w:val="21"/>
        </w:rPr>
      </w:pPr>
    </w:p>
    <w:p w14:paraId="1A93CDD9">
      <w:pPr>
        <w:autoSpaceDE w:val="0"/>
        <w:autoSpaceDN w:val="0"/>
        <w:adjustRightInd w:val="0"/>
        <w:snapToGrid w:val="0"/>
        <w:spacing w:line="480" w:lineRule="exact"/>
        <w:ind w:firstLine="561"/>
        <w:rPr>
          <w:rFonts w:hint="eastAsia" w:ascii="宋体" w:hAnsi="宋体"/>
          <w:color w:val="000000"/>
          <w:szCs w:val="21"/>
        </w:rPr>
      </w:pPr>
    </w:p>
    <w:p w14:paraId="3465C936">
      <w:pPr>
        <w:autoSpaceDE w:val="0"/>
        <w:autoSpaceDN w:val="0"/>
        <w:adjustRightInd w:val="0"/>
        <w:snapToGrid w:val="0"/>
        <w:spacing w:line="480" w:lineRule="exact"/>
        <w:ind w:firstLine="561"/>
        <w:rPr>
          <w:rFonts w:hint="eastAsia" w:ascii="宋体" w:hAnsi="宋体"/>
          <w:color w:val="000000"/>
          <w:szCs w:val="21"/>
        </w:rPr>
      </w:pPr>
    </w:p>
    <w:p w14:paraId="5B5D9715">
      <w:pPr>
        <w:autoSpaceDE w:val="0"/>
        <w:autoSpaceDN w:val="0"/>
        <w:adjustRightInd w:val="0"/>
        <w:snapToGrid w:val="0"/>
        <w:spacing w:line="480" w:lineRule="exact"/>
        <w:ind w:firstLine="561"/>
        <w:rPr>
          <w:rFonts w:hint="eastAsia" w:ascii="宋体" w:hAnsi="宋体"/>
          <w:color w:val="000000"/>
          <w:szCs w:val="21"/>
        </w:rPr>
      </w:pPr>
    </w:p>
    <w:p w14:paraId="7A12F94B">
      <w:pPr>
        <w:autoSpaceDE w:val="0"/>
        <w:autoSpaceDN w:val="0"/>
        <w:adjustRightInd w:val="0"/>
        <w:snapToGrid w:val="0"/>
        <w:spacing w:line="480" w:lineRule="exact"/>
        <w:rPr>
          <w:rFonts w:hint="eastAsia" w:ascii="宋体" w:hAnsi="宋体"/>
          <w:color w:val="000000"/>
          <w:szCs w:val="21"/>
        </w:rPr>
      </w:pPr>
    </w:p>
    <w:p w14:paraId="311FD649">
      <w:pPr>
        <w:pStyle w:val="20"/>
        <w:rPr>
          <w:rFonts w:hint="eastAsia"/>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19"/>
        <w:rPr>
          <w:rFonts w:hint="eastAsia"/>
          <w:lang w:eastAsia="zh-CN"/>
        </w:rPr>
      </w:pPr>
    </w:p>
    <w:p w14:paraId="22FFDF3C">
      <w:pPr>
        <w:pStyle w:val="20"/>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19"/>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19"/>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19"/>
        <w:rPr>
          <w:rFonts w:hint="eastAsia"/>
        </w:rPr>
      </w:pPr>
    </w:p>
    <w:p w14:paraId="4C59DDD4">
      <w:pPr>
        <w:pStyle w:val="20"/>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4"/>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工程竣工验收合格后付至实际供货款的60%（不超过合同价的60%），工程完成外审付至实际供货量的70%（不超过合同价的70%），工程完成财审或扬州市审计局专项审计付至财审价或专项审计结果的97%，二年质保期满后，付清尾款（无息）。</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23EC945">
      <w:pPr>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4、乙方须提供甲方所需的热熔设备。</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3611B52B">
      <w:pPr>
        <w:pStyle w:val="4"/>
        <w:rPr>
          <w:color w:val="000000" w:themeColor="text1"/>
          <w14:textFill>
            <w14:solidFill>
              <w14:schemeClr w14:val="tx1"/>
            </w14:solidFill>
          </w14:textFill>
        </w:rPr>
      </w:pPr>
    </w:p>
    <w:p w14:paraId="6CD48F6C">
      <w:pPr>
        <w:pStyle w:val="4"/>
        <w:rPr>
          <w:color w:val="000000" w:themeColor="text1"/>
          <w14:textFill>
            <w14:solidFill>
              <w14:schemeClr w14:val="tx1"/>
            </w14:solidFill>
          </w14:textFill>
        </w:rPr>
      </w:pPr>
    </w:p>
    <w:p w14:paraId="1CF70972">
      <w:pPr>
        <w:pStyle w:val="4"/>
        <w:rPr>
          <w:color w:val="000000" w:themeColor="text1"/>
          <w14:textFill>
            <w14:solidFill>
              <w14:schemeClr w14:val="tx1"/>
            </w14:solidFill>
          </w14:textFill>
        </w:rPr>
      </w:pPr>
    </w:p>
    <w:p w14:paraId="1ADFE595">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4C5EA02C">
      <w:pPr>
        <w:pStyle w:val="4"/>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D68520-F1D5-42AE-A224-46355976D08B}"/>
  </w:font>
  <w:font w:name="黑体">
    <w:panose1 w:val="02010609060101010101"/>
    <w:charset w:val="86"/>
    <w:family w:val="auto"/>
    <w:pitch w:val="default"/>
    <w:sig w:usb0="800002BF" w:usb1="38CF7CFA" w:usb2="00000016" w:usb3="00000000" w:csb0="00040001" w:csb1="00000000"/>
    <w:embedRegular r:id="rId2" w:fontKey="{D158E7AC-9549-4258-A6FD-383B2531A6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76B5075-B45F-4310-8964-8FE5193E97EC}"/>
  </w:font>
  <w:font w:name="Arial Unicode MS">
    <w:altName w:val="宋体"/>
    <w:panose1 w:val="020B0604020202020204"/>
    <w:charset w:val="86"/>
    <w:family w:val="swiss"/>
    <w:pitch w:val="default"/>
    <w:sig w:usb0="00000000" w:usb1="00000000" w:usb2="0000003F" w:usb3="00000000" w:csb0="003F01FF" w:csb1="00000000"/>
  </w:font>
  <w:font w:name="方正仿宋_GBK">
    <w:panose1 w:val="03000509000000000000"/>
    <w:charset w:val="86"/>
    <w:family w:val="auto"/>
    <w:pitch w:val="default"/>
    <w:sig w:usb0="00000001" w:usb1="080E0000" w:usb2="00000000" w:usb3="00000000" w:csb0="00040000" w:csb1="00000000"/>
    <w:embedRegular r:id="rId4" w:fontKey="{D44794A6-3068-4E3E-BE71-9EA6D54A661C}"/>
  </w:font>
  <w:font w:name="Helvetica">
    <w:altName w:val="Arial"/>
    <w:panose1 w:val="00000000000000000000"/>
    <w:charset w:val="00"/>
    <w:family w:val="auto"/>
    <w:pitch w:val="default"/>
    <w:sig w:usb0="00000000" w:usb1="00000000" w:usb2="00000000" w:usb3="00000000" w:csb0="00040001" w:csb1="00000000"/>
    <w:embedRegular r:id="rId5" w:fontKey="{E4FB3BBA-696F-48EA-9791-39C5218FFBCE}"/>
  </w:font>
  <w:font w:name="楷体_GB2312">
    <w:panose1 w:val="02010609030101010101"/>
    <w:charset w:val="86"/>
    <w:family w:val="modern"/>
    <w:pitch w:val="default"/>
    <w:sig w:usb0="00000001" w:usb1="080E0000" w:usb2="00000000" w:usb3="00000000" w:csb0="00040000" w:csb1="00000000"/>
    <w:embedRegular r:id="rId6" w:fontKey="{2CA363DE-33E6-43A9-96DA-EE658CBC8FE0}"/>
  </w:font>
  <w:font w:name="方正小标宋_GBK">
    <w:panose1 w:val="03000509000000000000"/>
    <w:charset w:val="86"/>
    <w:family w:val="auto"/>
    <w:pitch w:val="default"/>
    <w:sig w:usb0="00000001" w:usb1="080E0000" w:usb2="00000000" w:usb3="00000000" w:csb0="00040000" w:csb1="00000000"/>
    <w:embedRegular r:id="rId7" w:fontKey="{86D29C82-D537-4964-B972-516EA095D20C}"/>
  </w:font>
  <w:font w:name="仿宋">
    <w:panose1 w:val="02010609060101010101"/>
    <w:charset w:val="86"/>
    <w:family w:val="auto"/>
    <w:pitch w:val="default"/>
    <w:sig w:usb0="800002BF" w:usb1="38CF7CFA" w:usb2="00000016" w:usb3="00000000" w:csb0="00040001" w:csb1="00000000"/>
    <w:embedRegular r:id="rId8" w:fontKey="{D5EBFFCC-7E7C-46C5-9880-F620AE51E9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4F33787"/>
    <w:rsid w:val="05235BBF"/>
    <w:rsid w:val="05616943"/>
    <w:rsid w:val="057A6F83"/>
    <w:rsid w:val="06574153"/>
    <w:rsid w:val="07B132EE"/>
    <w:rsid w:val="08971538"/>
    <w:rsid w:val="09A23D87"/>
    <w:rsid w:val="0A045C92"/>
    <w:rsid w:val="0C006D9B"/>
    <w:rsid w:val="0C391C75"/>
    <w:rsid w:val="0C460641"/>
    <w:rsid w:val="0D046532"/>
    <w:rsid w:val="0D9773A6"/>
    <w:rsid w:val="0E422E9A"/>
    <w:rsid w:val="0E5A3EAC"/>
    <w:rsid w:val="105E328D"/>
    <w:rsid w:val="106B52EF"/>
    <w:rsid w:val="10E46038"/>
    <w:rsid w:val="115F642C"/>
    <w:rsid w:val="118916FB"/>
    <w:rsid w:val="119357E0"/>
    <w:rsid w:val="11DD6CEC"/>
    <w:rsid w:val="122657AD"/>
    <w:rsid w:val="12AD1419"/>
    <w:rsid w:val="12EA5FE1"/>
    <w:rsid w:val="13141EF4"/>
    <w:rsid w:val="137837D5"/>
    <w:rsid w:val="153951E6"/>
    <w:rsid w:val="158F2D02"/>
    <w:rsid w:val="15AA6D60"/>
    <w:rsid w:val="16924BAE"/>
    <w:rsid w:val="16D64DEC"/>
    <w:rsid w:val="1748310D"/>
    <w:rsid w:val="17AA4179"/>
    <w:rsid w:val="18282018"/>
    <w:rsid w:val="192D0BBE"/>
    <w:rsid w:val="1A933FAF"/>
    <w:rsid w:val="1B32070E"/>
    <w:rsid w:val="1B441F92"/>
    <w:rsid w:val="1B863EE4"/>
    <w:rsid w:val="1BC96078"/>
    <w:rsid w:val="1D524DB7"/>
    <w:rsid w:val="1E4B2C37"/>
    <w:rsid w:val="1E6225BB"/>
    <w:rsid w:val="1E8C6387"/>
    <w:rsid w:val="1EA31154"/>
    <w:rsid w:val="1EC21A64"/>
    <w:rsid w:val="1EC92A20"/>
    <w:rsid w:val="1F0E4671"/>
    <w:rsid w:val="1FD42705"/>
    <w:rsid w:val="206C021E"/>
    <w:rsid w:val="20A951E7"/>
    <w:rsid w:val="20CA13E8"/>
    <w:rsid w:val="223A588B"/>
    <w:rsid w:val="226D193C"/>
    <w:rsid w:val="226F3FF6"/>
    <w:rsid w:val="227D128F"/>
    <w:rsid w:val="22E23D79"/>
    <w:rsid w:val="23A016EC"/>
    <w:rsid w:val="23D26B89"/>
    <w:rsid w:val="260C121F"/>
    <w:rsid w:val="262D66A1"/>
    <w:rsid w:val="265402D1"/>
    <w:rsid w:val="26BA2DC8"/>
    <w:rsid w:val="26E30BFE"/>
    <w:rsid w:val="28994243"/>
    <w:rsid w:val="28E66D39"/>
    <w:rsid w:val="2B4431B2"/>
    <w:rsid w:val="2CA37518"/>
    <w:rsid w:val="2FFE5B53"/>
    <w:rsid w:val="31A368A5"/>
    <w:rsid w:val="31F0483A"/>
    <w:rsid w:val="3220530C"/>
    <w:rsid w:val="32CA33D5"/>
    <w:rsid w:val="32E43D91"/>
    <w:rsid w:val="33976056"/>
    <w:rsid w:val="34804ED0"/>
    <w:rsid w:val="34EC7159"/>
    <w:rsid w:val="36F74DA2"/>
    <w:rsid w:val="377C1237"/>
    <w:rsid w:val="37AF7C77"/>
    <w:rsid w:val="39B96074"/>
    <w:rsid w:val="3B223EA3"/>
    <w:rsid w:val="3B257EFE"/>
    <w:rsid w:val="3C646ABC"/>
    <w:rsid w:val="3C691FB0"/>
    <w:rsid w:val="3CA8662A"/>
    <w:rsid w:val="3D1E68EC"/>
    <w:rsid w:val="3F8E7211"/>
    <w:rsid w:val="3FF839D9"/>
    <w:rsid w:val="40321424"/>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F401700"/>
    <w:rsid w:val="4FE34DE9"/>
    <w:rsid w:val="50B6349B"/>
    <w:rsid w:val="50D92A99"/>
    <w:rsid w:val="511B5891"/>
    <w:rsid w:val="513F3A5E"/>
    <w:rsid w:val="516A7EFA"/>
    <w:rsid w:val="523634E2"/>
    <w:rsid w:val="53361833"/>
    <w:rsid w:val="53A92F5C"/>
    <w:rsid w:val="563034C0"/>
    <w:rsid w:val="56A8222D"/>
    <w:rsid w:val="56D62531"/>
    <w:rsid w:val="571E1031"/>
    <w:rsid w:val="572172AD"/>
    <w:rsid w:val="5731653C"/>
    <w:rsid w:val="58A65CBC"/>
    <w:rsid w:val="58D6764A"/>
    <w:rsid w:val="59B57910"/>
    <w:rsid w:val="59D52356"/>
    <w:rsid w:val="5A0C3255"/>
    <w:rsid w:val="5D582E82"/>
    <w:rsid w:val="5E445D2E"/>
    <w:rsid w:val="5F795ED8"/>
    <w:rsid w:val="61840B64"/>
    <w:rsid w:val="6279082B"/>
    <w:rsid w:val="62BF002C"/>
    <w:rsid w:val="62C31218"/>
    <w:rsid w:val="6370314E"/>
    <w:rsid w:val="6390231F"/>
    <w:rsid w:val="64747F00"/>
    <w:rsid w:val="64FD6B36"/>
    <w:rsid w:val="65EB0E69"/>
    <w:rsid w:val="66746855"/>
    <w:rsid w:val="667F60B7"/>
    <w:rsid w:val="66A870A3"/>
    <w:rsid w:val="66F35A29"/>
    <w:rsid w:val="678F10BD"/>
    <w:rsid w:val="68537464"/>
    <w:rsid w:val="68C57F09"/>
    <w:rsid w:val="6BBB4685"/>
    <w:rsid w:val="6C1F145F"/>
    <w:rsid w:val="6C9B5DE4"/>
    <w:rsid w:val="6CF272CA"/>
    <w:rsid w:val="6D0131CD"/>
    <w:rsid w:val="6D016897"/>
    <w:rsid w:val="6D116F45"/>
    <w:rsid w:val="6EC33740"/>
    <w:rsid w:val="6EE658EC"/>
    <w:rsid w:val="6F255FDF"/>
    <w:rsid w:val="6F4F0FDA"/>
    <w:rsid w:val="6FA2234A"/>
    <w:rsid w:val="6FC00FB9"/>
    <w:rsid w:val="6FD30157"/>
    <w:rsid w:val="711D243B"/>
    <w:rsid w:val="715916C6"/>
    <w:rsid w:val="726C5429"/>
    <w:rsid w:val="749018A2"/>
    <w:rsid w:val="74E70861"/>
    <w:rsid w:val="75F0011F"/>
    <w:rsid w:val="761A7694"/>
    <w:rsid w:val="7686731E"/>
    <w:rsid w:val="778C2829"/>
    <w:rsid w:val="77D7083D"/>
    <w:rsid w:val="77E9764D"/>
    <w:rsid w:val="78135BBF"/>
    <w:rsid w:val="78387804"/>
    <w:rsid w:val="7A546ECE"/>
    <w:rsid w:val="7AA15E8B"/>
    <w:rsid w:val="7AB53611"/>
    <w:rsid w:val="7B646DB9"/>
    <w:rsid w:val="7B8F57A7"/>
    <w:rsid w:val="7CCA4BCF"/>
    <w:rsid w:val="7D2A660C"/>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页眉 Char"/>
    <w:link w:val="11"/>
    <w:qFormat/>
    <w:uiPriority w:val="0"/>
    <w:rPr>
      <w:kern w:val="2"/>
      <w:sz w:val="18"/>
      <w:szCs w:val="18"/>
    </w:rPr>
  </w:style>
  <w:style w:type="character" w:customStyle="1" w:styleId="22">
    <w:name w:val="页脚 Char"/>
    <w:link w:val="10"/>
    <w:qFormat/>
    <w:uiPriority w:val="0"/>
    <w:rPr>
      <w:kern w:val="2"/>
      <w:sz w:val="18"/>
      <w:szCs w:val="18"/>
    </w:rPr>
  </w:style>
  <w:style w:type="character" w:customStyle="1" w:styleId="23">
    <w:name w:val="正文文本缩进 Char"/>
    <w:link w:val="5"/>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 w:type="character" w:customStyle="1" w:styleId="30">
    <w:name w:val="font11"/>
    <w:basedOn w:val="18"/>
    <w:qFormat/>
    <w:uiPriority w:val="0"/>
    <w:rPr>
      <w:rFonts w:hint="eastAsia" w:ascii="宋体" w:hAnsi="宋体" w:eastAsia="宋体" w:cs="宋体"/>
      <w:color w:val="000000"/>
      <w:sz w:val="21"/>
      <w:szCs w:val="21"/>
      <w:u w:val="none"/>
    </w:rPr>
  </w:style>
  <w:style w:type="character" w:customStyle="1" w:styleId="31">
    <w:name w:val="font21"/>
    <w:basedOn w:val="18"/>
    <w:qFormat/>
    <w:uiPriority w:val="0"/>
    <w:rPr>
      <w:rFonts w:hint="default" w:ascii="Times New Roman" w:hAnsi="Times New Roman" w:cs="Times New Roman"/>
      <w:color w:val="000000"/>
      <w:sz w:val="21"/>
      <w:szCs w:val="21"/>
      <w:u w:val="none"/>
    </w:rPr>
  </w:style>
  <w:style w:type="paragraph" w:customStyle="1" w:styleId="32">
    <w:name w:val="正文_2"/>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3224</Words>
  <Characters>3365</Characters>
  <Lines>30</Lines>
  <Paragraphs>8</Paragraphs>
  <TotalTime>2</TotalTime>
  <ScaleCrop>false</ScaleCrop>
  <LinksUpToDate>false</LinksUpToDate>
  <CharactersWithSpaces>3490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顾涛</cp:lastModifiedBy>
  <cp:lastPrinted>2025-12-03T09:53:18Z</cp:lastPrinted>
  <dcterms:modified xsi:type="dcterms:W3CDTF">2025-12-03T09:54:08Z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BC45F49CE6374AD093D543CCF61E5777_13</vt:lpwstr>
  </property>
  <property fmtid="{D5CDD505-2E9C-101B-9397-08002B2CF9AE}" pid="4" name="KSOTemplateDocerSaveRecord">
    <vt:lpwstr>eyJoZGlkIjoiZTZmYTUzMDI2OTQ2ZDhhYTk4NGE3MGUyNWZiOTM3NzIiLCJ1c2VySWQiOiIxNjQ1Mzc3MjM2In0=</vt:lpwstr>
  </property>
</Properties>
</file>