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8"/>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6E93328C">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生态科技新城杭集镇2025年污水处理提质增效工程EPC工程总承包</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球墨铸铁管材料采购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2025</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7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25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D4E268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生态科技新城杭集镇2025年污水处理提质增效工程EPC工程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25 </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27</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8"/>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szCs w:val="21"/>
          <w:lang w:val="en-US" w:eastAsia="zh-CN"/>
        </w:rPr>
        <w:t>材料采购</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82"/>
        <w:gridCol w:w="1309"/>
        <w:gridCol w:w="941"/>
        <w:gridCol w:w="873"/>
        <w:gridCol w:w="1691"/>
        <w:gridCol w:w="1718"/>
        <w:gridCol w:w="775"/>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shd w:val="clear" w:color="auto" w:fill="auto"/>
            <w:vAlign w:val="center"/>
          </w:tcPr>
          <w:p w14:paraId="51E9DF18">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882" w:type="dxa"/>
            <w:shd w:val="clear" w:color="auto" w:fill="auto"/>
            <w:vAlign w:val="center"/>
          </w:tcPr>
          <w:p w14:paraId="69BE5FD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309" w:type="dxa"/>
            <w:shd w:val="clear" w:color="auto" w:fill="auto"/>
            <w:vAlign w:val="center"/>
          </w:tcPr>
          <w:p w14:paraId="7063CC3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941" w:type="dxa"/>
            <w:shd w:val="clear" w:color="auto" w:fill="auto"/>
            <w:vAlign w:val="center"/>
          </w:tcPr>
          <w:p w14:paraId="3BAD5D81">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873" w:type="dxa"/>
            <w:shd w:val="clear" w:color="auto" w:fill="auto"/>
            <w:vAlign w:val="center"/>
          </w:tcPr>
          <w:p w14:paraId="2F6FC91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691" w:type="dxa"/>
            <w:shd w:val="clear" w:color="auto" w:fill="auto"/>
            <w:vAlign w:val="center"/>
          </w:tcPr>
          <w:p w14:paraId="1A6D60C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最高限价</w:t>
            </w:r>
          </w:p>
          <w:p w14:paraId="0FCEADCB">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p>
        </w:tc>
        <w:tc>
          <w:tcPr>
            <w:tcW w:w="1718" w:type="dxa"/>
            <w:shd w:val="clear" w:color="auto" w:fill="auto"/>
            <w:vAlign w:val="center"/>
          </w:tcPr>
          <w:p w14:paraId="57B94FD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总价</w:t>
            </w:r>
          </w:p>
          <w:p w14:paraId="204CA9B3">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w:t>
            </w:r>
          </w:p>
        </w:tc>
        <w:tc>
          <w:tcPr>
            <w:tcW w:w="775" w:type="dxa"/>
            <w:shd w:val="clear" w:color="auto" w:fill="auto"/>
            <w:vAlign w:val="center"/>
          </w:tcPr>
          <w:p w14:paraId="6B2ADE2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1882"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球墨铸铁管</w:t>
            </w:r>
          </w:p>
        </w:tc>
        <w:tc>
          <w:tcPr>
            <w:tcW w:w="1309" w:type="dxa"/>
            <w:vAlign w:val="center"/>
          </w:tcPr>
          <w:p w14:paraId="495645EC">
            <w:pPr>
              <w:jc w:val="center"/>
              <w:rPr>
                <w:rFonts w:hint="default"/>
                <w:vertAlign w:val="baseline"/>
                <w:lang w:val="en-US" w:eastAsia="zh-CN"/>
              </w:rPr>
            </w:pPr>
            <w:r>
              <w:rPr>
                <w:rFonts w:hint="eastAsia"/>
                <w:vertAlign w:val="baseline"/>
                <w:lang w:val="en-US" w:eastAsia="zh-CN"/>
              </w:rPr>
              <w:t>DN300</w:t>
            </w:r>
          </w:p>
        </w:tc>
        <w:tc>
          <w:tcPr>
            <w:tcW w:w="941"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873"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54</w:t>
            </w:r>
          </w:p>
        </w:tc>
        <w:tc>
          <w:tcPr>
            <w:tcW w:w="1691"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190</w:t>
            </w:r>
          </w:p>
        </w:tc>
        <w:tc>
          <w:tcPr>
            <w:tcW w:w="1718"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10260</w:t>
            </w:r>
          </w:p>
        </w:tc>
        <w:tc>
          <w:tcPr>
            <w:tcW w:w="775" w:type="dxa"/>
            <w:vAlign w:val="center"/>
          </w:tcPr>
          <w:p w14:paraId="70D475DE">
            <w:pPr>
              <w:jc w:val="center"/>
              <w:rPr>
                <w:rFonts w:hint="default"/>
                <w:vertAlign w:val="baseline"/>
                <w:lang w:val="en-US" w:eastAsia="zh-CN"/>
              </w:rPr>
            </w:pPr>
            <w:r>
              <w:rPr>
                <w:rFonts w:hint="eastAsia"/>
                <w:vertAlign w:val="baseline"/>
                <w:lang w:val="en-US" w:eastAsia="zh-CN"/>
              </w:rPr>
              <w:t>含胶圈C30</w:t>
            </w:r>
          </w:p>
        </w:tc>
      </w:tr>
      <w:tr w14:paraId="658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09E87AEB">
            <w:pPr>
              <w:jc w:val="center"/>
              <w:rPr>
                <w:rFonts w:hint="default"/>
                <w:vertAlign w:val="baseline"/>
                <w:lang w:val="en-US" w:eastAsia="zh-CN"/>
              </w:rPr>
            </w:pPr>
            <w:r>
              <w:rPr>
                <w:rFonts w:hint="eastAsia"/>
                <w:vertAlign w:val="baseline"/>
                <w:lang w:val="en-US" w:eastAsia="zh-CN"/>
              </w:rPr>
              <w:t>2</w:t>
            </w:r>
          </w:p>
        </w:tc>
        <w:tc>
          <w:tcPr>
            <w:tcW w:w="1882" w:type="dxa"/>
            <w:vAlign w:val="center"/>
          </w:tcPr>
          <w:p w14:paraId="1BD08B72">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球墨铸铁管</w:t>
            </w:r>
          </w:p>
        </w:tc>
        <w:tc>
          <w:tcPr>
            <w:tcW w:w="1309" w:type="dxa"/>
            <w:vAlign w:val="center"/>
          </w:tcPr>
          <w:p w14:paraId="367DFB96">
            <w:pPr>
              <w:jc w:val="center"/>
              <w:rPr>
                <w:rFonts w:hint="default"/>
                <w:vertAlign w:val="baseline"/>
                <w:lang w:val="en-US" w:eastAsia="zh-CN"/>
              </w:rPr>
            </w:pPr>
            <w:r>
              <w:rPr>
                <w:rFonts w:hint="eastAsia"/>
                <w:vertAlign w:val="baseline"/>
                <w:lang w:val="en-US" w:eastAsia="zh-CN"/>
              </w:rPr>
              <w:t>DN400</w:t>
            </w:r>
          </w:p>
        </w:tc>
        <w:tc>
          <w:tcPr>
            <w:tcW w:w="941" w:type="dxa"/>
            <w:vAlign w:val="center"/>
          </w:tcPr>
          <w:p w14:paraId="705A266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873" w:type="dxa"/>
            <w:vAlign w:val="center"/>
          </w:tcPr>
          <w:p w14:paraId="2DE8C38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1308</w:t>
            </w:r>
          </w:p>
        </w:tc>
        <w:tc>
          <w:tcPr>
            <w:tcW w:w="1691" w:type="dxa"/>
            <w:shd w:val="clear" w:color="auto" w:fill="auto"/>
            <w:vAlign w:val="center"/>
          </w:tcPr>
          <w:p w14:paraId="13E733D5">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260</w:t>
            </w:r>
          </w:p>
        </w:tc>
        <w:tc>
          <w:tcPr>
            <w:tcW w:w="1718" w:type="dxa"/>
            <w:vAlign w:val="center"/>
          </w:tcPr>
          <w:p w14:paraId="62A3FAA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340080</w:t>
            </w:r>
          </w:p>
        </w:tc>
        <w:tc>
          <w:tcPr>
            <w:tcW w:w="775" w:type="dxa"/>
            <w:vAlign w:val="center"/>
          </w:tcPr>
          <w:p w14:paraId="317FFD32">
            <w:pPr>
              <w:jc w:val="center"/>
              <w:rPr>
                <w:rFonts w:hint="eastAsia"/>
                <w:vertAlign w:val="baseline"/>
                <w:lang w:val="en-US" w:eastAsia="zh-CN"/>
              </w:rPr>
            </w:pPr>
            <w:r>
              <w:rPr>
                <w:rFonts w:hint="eastAsia"/>
                <w:vertAlign w:val="baseline"/>
                <w:lang w:val="en-US" w:eastAsia="zh-CN"/>
              </w:rPr>
              <w:t>含胶圈C30</w:t>
            </w:r>
          </w:p>
        </w:tc>
      </w:tr>
      <w:tr w14:paraId="384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6060160">
            <w:pPr>
              <w:jc w:val="center"/>
              <w:rPr>
                <w:rFonts w:hint="default"/>
                <w:vertAlign w:val="baseline"/>
                <w:lang w:val="en-US" w:eastAsia="zh-CN"/>
              </w:rPr>
            </w:pPr>
            <w:r>
              <w:rPr>
                <w:rFonts w:hint="eastAsia"/>
                <w:vertAlign w:val="baseline"/>
                <w:lang w:val="en-US" w:eastAsia="zh-CN"/>
              </w:rPr>
              <w:t>3</w:t>
            </w:r>
          </w:p>
        </w:tc>
        <w:tc>
          <w:tcPr>
            <w:tcW w:w="1882" w:type="dxa"/>
            <w:vAlign w:val="center"/>
          </w:tcPr>
          <w:p w14:paraId="72784DB0">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球墨铸铁管</w:t>
            </w:r>
          </w:p>
        </w:tc>
        <w:tc>
          <w:tcPr>
            <w:tcW w:w="1309" w:type="dxa"/>
            <w:vAlign w:val="center"/>
          </w:tcPr>
          <w:p w14:paraId="556F80E4">
            <w:pPr>
              <w:jc w:val="center"/>
              <w:rPr>
                <w:rFonts w:hint="default"/>
                <w:vertAlign w:val="baseline"/>
                <w:lang w:val="en-US" w:eastAsia="zh-CN"/>
              </w:rPr>
            </w:pPr>
            <w:r>
              <w:rPr>
                <w:rFonts w:hint="eastAsia"/>
                <w:vertAlign w:val="baseline"/>
                <w:lang w:val="en-US" w:eastAsia="zh-CN"/>
              </w:rPr>
              <w:t>DN500</w:t>
            </w:r>
          </w:p>
        </w:tc>
        <w:tc>
          <w:tcPr>
            <w:tcW w:w="941" w:type="dxa"/>
            <w:vAlign w:val="center"/>
          </w:tcPr>
          <w:p w14:paraId="496FAE6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873" w:type="dxa"/>
            <w:vAlign w:val="center"/>
          </w:tcPr>
          <w:p w14:paraId="7339946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570</w:t>
            </w:r>
          </w:p>
        </w:tc>
        <w:tc>
          <w:tcPr>
            <w:tcW w:w="1691" w:type="dxa"/>
            <w:shd w:val="clear" w:color="auto" w:fill="auto"/>
            <w:vAlign w:val="center"/>
          </w:tcPr>
          <w:p w14:paraId="652878B1">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390</w:t>
            </w:r>
          </w:p>
        </w:tc>
        <w:tc>
          <w:tcPr>
            <w:tcW w:w="1718" w:type="dxa"/>
            <w:vAlign w:val="center"/>
          </w:tcPr>
          <w:p w14:paraId="70230F0F">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222300</w:t>
            </w:r>
          </w:p>
        </w:tc>
        <w:tc>
          <w:tcPr>
            <w:tcW w:w="775" w:type="dxa"/>
            <w:vAlign w:val="center"/>
          </w:tcPr>
          <w:p w14:paraId="1D9E033C">
            <w:pPr>
              <w:jc w:val="center"/>
              <w:rPr>
                <w:rFonts w:hint="default"/>
                <w:vertAlign w:val="baseline"/>
                <w:lang w:val="en-US" w:eastAsia="zh-CN"/>
              </w:rPr>
            </w:pPr>
            <w:r>
              <w:rPr>
                <w:rFonts w:hint="eastAsia"/>
                <w:vertAlign w:val="baseline"/>
                <w:lang w:val="en-US" w:eastAsia="zh-CN"/>
              </w:rPr>
              <w:t>含胶圈C25</w:t>
            </w:r>
          </w:p>
        </w:tc>
      </w:tr>
      <w:tr w14:paraId="5D65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6" w:type="dxa"/>
            <w:vAlign w:val="center"/>
          </w:tcPr>
          <w:p w14:paraId="0E14F68C">
            <w:pPr>
              <w:jc w:val="center"/>
              <w:rPr>
                <w:rFonts w:hint="default"/>
                <w:vertAlign w:val="baseline"/>
                <w:lang w:val="en-US" w:eastAsia="zh-CN"/>
              </w:rPr>
            </w:pPr>
            <w:r>
              <w:rPr>
                <w:rFonts w:hint="eastAsia"/>
                <w:vertAlign w:val="baseline"/>
                <w:lang w:val="en-US" w:eastAsia="zh-CN"/>
              </w:rPr>
              <w:t>4</w:t>
            </w:r>
          </w:p>
        </w:tc>
        <w:tc>
          <w:tcPr>
            <w:tcW w:w="1882" w:type="dxa"/>
            <w:vAlign w:val="center"/>
          </w:tcPr>
          <w:p w14:paraId="27A96A5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球墨铸铁管</w:t>
            </w:r>
          </w:p>
        </w:tc>
        <w:tc>
          <w:tcPr>
            <w:tcW w:w="1309" w:type="dxa"/>
            <w:vAlign w:val="center"/>
          </w:tcPr>
          <w:p w14:paraId="174C87E2">
            <w:pPr>
              <w:jc w:val="center"/>
              <w:rPr>
                <w:rFonts w:hint="default"/>
                <w:vertAlign w:val="baseline"/>
                <w:lang w:val="en-US" w:eastAsia="zh-CN"/>
              </w:rPr>
            </w:pPr>
            <w:r>
              <w:rPr>
                <w:rFonts w:hint="eastAsia"/>
                <w:vertAlign w:val="baseline"/>
                <w:lang w:val="en-US" w:eastAsia="zh-CN"/>
              </w:rPr>
              <w:t>DN600</w:t>
            </w:r>
          </w:p>
        </w:tc>
        <w:tc>
          <w:tcPr>
            <w:tcW w:w="941" w:type="dxa"/>
            <w:vAlign w:val="center"/>
          </w:tcPr>
          <w:p w14:paraId="5C84C956">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873" w:type="dxa"/>
            <w:vAlign w:val="center"/>
          </w:tcPr>
          <w:p w14:paraId="4E97AA2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24</w:t>
            </w:r>
          </w:p>
        </w:tc>
        <w:tc>
          <w:tcPr>
            <w:tcW w:w="1691" w:type="dxa"/>
            <w:shd w:val="clear" w:color="auto" w:fill="auto"/>
            <w:vAlign w:val="center"/>
          </w:tcPr>
          <w:p w14:paraId="6BAD3066">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500</w:t>
            </w:r>
          </w:p>
        </w:tc>
        <w:tc>
          <w:tcPr>
            <w:tcW w:w="1718" w:type="dxa"/>
            <w:vAlign w:val="center"/>
          </w:tcPr>
          <w:p w14:paraId="5937CFB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1200</w:t>
            </w:r>
            <w:bookmarkStart w:id="2" w:name="_GoBack"/>
            <w:bookmarkEnd w:id="2"/>
            <w:r>
              <w:rPr>
                <w:rFonts w:hint="eastAsia"/>
                <w:vertAlign w:val="baseline"/>
                <w:lang w:val="en-US" w:eastAsia="zh-CN"/>
              </w:rPr>
              <w:t>0</w:t>
            </w:r>
          </w:p>
        </w:tc>
        <w:tc>
          <w:tcPr>
            <w:tcW w:w="775" w:type="dxa"/>
            <w:vAlign w:val="center"/>
          </w:tcPr>
          <w:p w14:paraId="5EC5BCB8">
            <w:pPr>
              <w:jc w:val="center"/>
              <w:rPr>
                <w:rFonts w:hint="eastAsia"/>
                <w:vertAlign w:val="baseline"/>
                <w:lang w:val="en-US" w:eastAsia="zh-CN"/>
              </w:rPr>
            </w:pPr>
            <w:r>
              <w:rPr>
                <w:rFonts w:hint="eastAsia"/>
                <w:vertAlign w:val="baseline"/>
                <w:lang w:val="en-US" w:eastAsia="zh-CN"/>
              </w:rPr>
              <w:t>含胶圈C25</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1882"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9" w:type="dxa"/>
            <w:vAlign w:val="center"/>
          </w:tcPr>
          <w:p w14:paraId="317C8DB3">
            <w:pPr>
              <w:jc w:val="center"/>
              <w:rPr>
                <w:rFonts w:hint="default"/>
                <w:vertAlign w:val="baseline"/>
                <w:lang w:val="en-US" w:eastAsia="zh-CN"/>
              </w:rPr>
            </w:pPr>
          </w:p>
        </w:tc>
        <w:tc>
          <w:tcPr>
            <w:tcW w:w="941"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873"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691"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718" w:type="dxa"/>
            <w:shd w:val="clear" w:color="auto" w:fill="auto"/>
            <w:vAlign w:val="center"/>
          </w:tcPr>
          <w:p w14:paraId="75205A29">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584640</w:t>
            </w:r>
          </w:p>
        </w:tc>
        <w:tc>
          <w:tcPr>
            <w:tcW w:w="775" w:type="dxa"/>
            <w:vAlign w:val="center"/>
          </w:tcPr>
          <w:p w14:paraId="629E1A63">
            <w:pPr>
              <w:jc w:val="center"/>
              <w:rPr>
                <w:rFonts w:hint="default"/>
                <w:vertAlign w:val="baseline"/>
                <w:lang w:val="en-US" w:eastAsia="zh-CN"/>
              </w:rPr>
            </w:pPr>
          </w:p>
        </w:tc>
      </w:tr>
    </w:tbl>
    <w:p w14:paraId="45443C08">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注:球墨铸铁管经过建设单位认可的第三方检测单位检测，并出具相关报告，样品及检测费用包含在综合单价中。</w:t>
      </w:r>
    </w:p>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2C479DE3">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4、技术参数：DN300-DN400管道选用壁厚C30球墨铸铁管。DN500-DN600管道选用壁厚C25球墨铸铁管。球墨铸铁管道外防腐采用锌+铁红色环氧漆，其中锌层的检验应符合GB/T17456.1和 GB/T17456.2的规定，内防腐采用铝酸盐水泥内衬，做法详见苏S01-2021-132，其检验应符合GB/T 17457的规定，内衬水泥砂浆的强度的检验应符合GB/T 17671的规定。管材质量应符合《排水工程用球墨铸铁管、管件和附件》(GB/T 26081-2022)要求。</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1752941C">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7D793760">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5、投标单位须承诺供货材料为以下品牌：新兴、南京山宁、巨康、山西健华。投标单位若为代理商须提供生产企业的授权委托证明。</w:t>
      </w:r>
    </w:p>
    <w:p w14:paraId="55A40178">
      <w:pPr>
        <w:pStyle w:val="2"/>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6、投标单位须提供1份近3年球墨铸铁管材料供货业绩（合同金额40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7、投标单位须提供质量承诺书。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8、</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default"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07B10499">
      <w:pPr>
        <w:pStyle w:val="2"/>
        <w:rPr>
          <w:rFonts w:hint="eastAsia"/>
        </w:rPr>
      </w:pPr>
    </w:p>
    <w:p w14:paraId="1D299D8E">
      <w:pPr>
        <w:pStyle w:val="3"/>
        <w:rPr>
          <w:rFonts w:hint="eastAsia" w:ascii="宋体" w:hAnsi="宋体"/>
          <w:color w:val="000000"/>
          <w:szCs w:val="21"/>
        </w:rPr>
      </w:pPr>
    </w:p>
    <w:p w14:paraId="4F294C4E">
      <w:pPr>
        <w:pStyle w:val="3"/>
        <w:rPr>
          <w:rFonts w:hint="eastAsia" w:ascii="宋体" w:hAnsi="宋体"/>
          <w:color w:val="000000"/>
          <w:szCs w:val="21"/>
        </w:rPr>
      </w:pPr>
    </w:p>
    <w:p w14:paraId="3E17D74E">
      <w:pPr>
        <w:pStyle w:val="3"/>
        <w:rPr>
          <w:rFonts w:hint="eastAsia"/>
        </w:rPr>
      </w:pPr>
    </w:p>
    <w:p w14:paraId="07C0C14C">
      <w:pPr>
        <w:pStyle w:val="3"/>
        <w:rPr>
          <w:rFonts w:hint="eastAsia"/>
        </w:rPr>
      </w:pPr>
    </w:p>
    <w:p w14:paraId="5EA13640">
      <w:pPr>
        <w:pStyle w:val="3"/>
        <w:rPr>
          <w:rFonts w:hint="eastAsia"/>
        </w:rPr>
      </w:pPr>
    </w:p>
    <w:p w14:paraId="7C51EACE">
      <w:pPr>
        <w:pStyle w:val="3"/>
        <w:rPr>
          <w:rFonts w:hint="eastAsia"/>
        </w:rPr>
      </w:pPr>
    </w:p>
    <w:p w14:paraId="08249FAC">
      <w:pPr>
        <w:pStyle w:val="3"/>
        <w:rPr>
          <w:rFonts w:hint="eastAsia"/>
        </w:rPr>
      </w:pPr>
    </w:p>
    <w:p w14:paraId="652A0F88">
      <w:pPr>
        <w:pStyle w:val="3"/>
        <w:rPr>
          <w:rFonts w:hint="eastAsia"/>
        </w:rPr>
      </w:pPr>
    </w:p>
    <w:p w14:paraId="23A1EF0F">
      <w:pPr>
        <w:pStyle w:val="3"/>
        <w:rPr>
          <w:rFonts w:hint="eastAsia"/>
        </w:rPr>
      </w:pPr>
    </w:p>
    <w:p w14:paraId="5C458F7C">
      <w:pPr>
        <w:pStyle w:val="3"/>
        <w:rPr>
          <w:rFonts w:hint="eastAsia"/>
        </w:rPr>
      </w:pPr>
    </w:p>
    <w:p w14:paraId="58019354">
      <w:pPr>
        <w:pStyle w:val="3"/>
        <w:rPr>
          <w:rFonts w:hint="eastAsia"/>
        </w:rPr>
      </w:pPr>
    </w:p>
    <w:p w14:paraId="49C5D70C">
      <w:pPr>
        <w:pStyle w:val="3"/>
        <w:rPr>
          <w:rFonts w:hint="eastAsia"/>
        </w:rPr>
      </w:pPr>
    </w:p>
    <w:p w14:paraId="2E29A96A">
      <w:pPr>
        <w:pStyle w:val="3"/>
        <w:rPr>
          <w:rFonts w:hint="eastAsia"/>
        </w:rPr>
      </w:pPr>
    </w:p>
    <w:p w14:paraId="06C4BDE6">
      <w:pPr>
        <w:pStyle w:val="3"/>
        <w:rPr>
          <w:rFonts w:hint="eastAsia"/>
        </w:rPr>
      </w:pPr>
    </w:p>
    <w:p w14:paraId="3CEF6DED">
      <w:pPr>
        <w:pStyle w:val="3"/>
        <w:rPr>
          <w:rFonts w:hint="eastAsia"/>
        </w:rPr>
      </w:pPr>
    </w:p>
    <w:p w14:paraId="40A54A47">
      <w:pPr>
        <w:pStyle w:val="3"/>
        <w:rPr>
          <w:rFonts w:hint="eastAsia"/>
        </w:rPr>
      </w:pPr>
    </w:p>
    <w:p w14:paraId="56E5C1C5">
      <w:pPr>
        <w:pStyle w:val="3"/>
        <w:rPr>
          <w:rFonts w:hint="eastAsia"/>
        </w:rPr>
      </w:pPr>
    </w:p>
    <w:p w14:paraId="4F5B3E68">
      <w:pPr>
        <w:pStyle w:val="3"/>
        <w:rPr>
          <w:rFonts w:hint="eastAsia"/>
        </w:rPr>
      </w:pPr>
    </w:p>
    <w:p w14:paraId="21B62FC0">
      <w:pPr>
        <w:pStyle w:val="3"/>
        <w:rPr>
          <w:rFonts w:hint="eastAsia"/>
        </w:rPr>
      </w:pPr>
    </w:p>
    <w:p w14:paraId="311FD649">
      <w:pPr>
        <w:pStyle w:val="3"/>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
        <w:rPr>
          <w:rFonts w:hint="eastAsia"/>
          <w:lang w:eastAsia="zh-CN"/>
        </w:rPr>
      </w:pPr>
    </w:p>
    <w:p w14:paraId="22FFDF3C">
      <w:pPr>
        <w:pStyle w:val="3"/>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
        <w:rPr>
          <w:rFonts w:hint="eastAsia"/>
        </w:rPr>
      </w:pPr>
    </w:p>
    <w:p w14:paraId="4C59DDD4">
      <w:pPr>
        <w:pStyle w:val="3"/>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8"/>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6"/>
        <w:rPr>
          <w:rFonts w:hint="eastAsia" w:ascii="宋体" w:hAnsi="宋体"/>
          <w:color w:val="000000" w:themeColor="text1"/>
          <w:sz w:val="24"/>
          <w14:textFill>
            <w14:solidFill>
              <w14:schemeClr w14:val="tx1"/>
            </w14:solidFill>
          </w14:textFill>
        </w:rPr>
      </w:pPr>
    </w:p>
    <w:p w14:paraId="4503EAF0">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47A618BA">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3611B52B">
      <w:pPr>
        <w:pStyle w:val="6"/>
        <w:rPr>
          <w:color w:val="000000" w:themeColor="text1"/>
          <w14:textFill>
            <w14:solidFill>
              <w14:schemeClr w14:val="tx1"/>
            </w14:solidFill>
          </w14:textFill>
        </w:rPr>
      </w:pPr>
    </w:p>
    <w:p w14:paraId="6CD48F6C">
      <w:pPr>
        <w:pStyle w:val="6"/>
        <w:rPr>
          <w:color w:val="000000" w:themeColor="text1"/>
          <w14:textFill>
            <w14:solidFill>
              <w14:schemeClr w14:val="tx1"/>
            </w14:solidFill>
          </w14:textFill>
        </w:rPr>
      </w:pPr>
    </w:p>
    <w:p w14:paraId="1CF70972">
      <w:pPr>
        <w:pStyle w:val="6"/>
        <w:rPr>
          <w:color w:val="000000" w:themeColor="text1"/>
          <w14:textFill>
            <w14:solidFill>
              <w14:schemeClr w14:val="tx1"/>
            </w14:solidFill>
          </w14:textFill>
        </w:rPr>
      </w:pPr>
    </w:p>
    <w:p w14:paraId="4B3C76BB">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5"/>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01899050">
      <w:pPr>
        <w:pStyle w:val="6"/>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29E7AE-14DA-43C0-8687-F20F5E950E33}"/>
  </w:font>
  <w:font w:name="黑体">
    <w:panose1 w:val="02010609060101010101"/>
    <w:charset w:val="86"/>
    <w:family w:val="auto"/>
    <w:pitch w:val="default"/>
    <w:sig w:usb0="800002BF" w:usb1="38CF7CFA" w:usb2="00000016" w:usb3="00000000" w:csb0="00040001" w:csb1="00000000"/>
    <w:embedRegular r:id="rId2" w:fontKey="{19D2006A-EF69-4108-A51D-84800ED42D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E26B550-3FB4-4FAE-8AF7-E5A2B99EFD5F}"/>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5EDB7351-79C4-4EE8-8167-BDF6E62B6BCB}"/>
  </w:font>
  <w:font w:name="楷体_GB2312">
    <w:panose1 w:val="02010609030101010101"/>
    <w:charset w:val="86"/>
    <w:family w:val="modern"/>
    <w:pitch w:val="default"/>
    <w:sig w:usb0="00000001" w:usb1="080E0000" w:usb2="00000000" w:usb3="00000000" w:csb0="00040000" w:csb1="00000000"/>
    <w:embedRegular r:id="rId5" w:fontKey="{1DA067E6-9894-4CD9-8284-D6531B8369CE}"/>
  </w:font>
  <w:font w:name="方正小标宋_GBK">
    <w:panose1 w:val="02000000000000000000"/>
    <w:charset w:val="86"/>
    <w:family w:val="auto"/>
    <w:pitch w:val="default"/>
    <w:sig w:usb0="A00002BF" w:usb1="38CF7CFA" w:usb2="00082016" w:usb3="00000000" w:csb0="00040001" w:csb1="00000000"/>
    <w:embedRegular r:id="rId6" w:fontKey="{8BBC2991-FDA9-42C0-837C-39196443CA71}"/>
  </w:font>
  <w:font w:name="方正仿宋_GBK">
    <w:panose1 w:val="02000000000000000000"/>
    <w:charset w:val="86"/>
    <w:family w:val="auto"/>
    <w:pitch w:val="default"/>
    <w:sig w:usb0="A00002BF" w:usb1="38CF7CFA" w:usb2="00082016" w:usb3="00000000" w:csb0="00040001" w:csb1="00000000"/>
    <w:embedRegular r:id="rId7" w:fontKey="{8C818566-8CF1-4E63-9685-B80B057486C0}"/>
  </w:font>
  <w:font w:name="仿宋">
    <w:panose1 w:val="02010609060101010101"/>
    <w:charset w:val="86"/>
    <w:family w:val="auto"/>
    <w:pitch w:val="default"/>
    <w:sig w:usb0="800002BF" w:usb1="38CF7CFA" w:usb2="00000016" w:usb3="00000000" w:csb0="00040001" w:csb1="00000000"/>
    <w:embedRegular r:id="rId8" w:fontKey="{555FCCDD-160C-4918-AF4D-148F9734DA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4F33787"/>
    <w:rsid w:val="05235BBF"/>
    <w:rsid w:val="05616943"/>
    <w:rsid w:val="057A6F83"/>
    <w:rsid w:val="06574153"/>
    <w:rsid w:val="07B132EE"/>
    <w:rsid w:val="08971538"/>
    <w:rsid w:val="09A23D87"/>
    <w:rsid w:val="0C006D9B"/>
    <w:rsid w:val="0C391C75"/>
    <w:rsid w:val="0C460641"/>
    <w:rsid w:val="0D046532"/>
    <w:rsid w:val="0D9773A6"/>
    <w:rsid w:val="0E5A3EAC"/>
    <w:rsid w:val="105E328D"/>
    <w:rsid w:val="106B52EF"/>
    <w:rsid w:val="10E46038"/>
    <w:rsid w:val="115F642C"/>
    <w:rsid w:val="118916FB"/>
    <w:rsid w:val="119357E0"/>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441F92"/>
    <w:rsid w:val="1B863EE4"/>
    <w:rsid w:val="1BC96078"/>
    <w:rsid w:val="1D524DB7"/>
    <w:rsid w:val="1E4B2C37"/>
    <w:rsid w:val="1E6225BB"/>
    <w:rsid w:val="1EA31154"/>
    <w:rsid w:val="1EC21A64"/>
    <w:rsid w:val="1EC92A20"/>
    <w:rsid w:val="1F0E4671"/>
    <w:rsid w:val="206C021E"/>
    <w:rsid w:val="20A951E7"/>
    <w:rsid w:val="20CA13E8"/>
    <w:rsid w:val="226D193C"/>
    <w:rsid w:val="227D128F"/>
    <w:rsid w:val="22E23D79"/>
    <w:rsid w:val="23A016EC"/>
    <w:rsid w:val="23D26B89"/>
    <w:rsid w:val="260C121F"/>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77C1237"/>
    <w:rsid w:val="37AF7C77"/>
    <w:rsid w:val="3B223EA3"/>
    <w:rsid w:val="3B257EFE"/>
    <w:rsid w:val="3C646ABC"/>
    <w:rsid w:val="3C691FB0"/>
    <w:rsid w:val="3CA8662A"/>
    <w:rsid w:val="3D1E68EC"/>
    <w:rsid w:val="3F8E7211"/>
    <w:rsid w:val="3FF839D9"/>
    <w:rsid w:val="40321424"/>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361833"/>
    <w:rsid w:val="53A92F5C"/>
    <w:rsid w:val="563034C0"/>
    <w:rsid w:val="56A8222D"/>
    <w:rsid w:val="56D62531"/>
    <w:rsid w:val="571E1031"/>
    <w:rsid w:val="5731653C"/>
    <w:rsid w:val="58A65CBC"/>
    <w:rsid w:val="58D6764A"/>
    <w:rsid w:val="59B57910"/>
    <w:rsid w:val="59D52356"/>
    <w:rsid w:val="5D582E82"/>
    <w:rsid w:val="5E445D2E"/>
    <w:rsid w:val="5F795ED8"/>
    <w:rsid w:val="6279082B"/>
    <w:rsid w:val="62C31218"/>
    <w:rsid w:val="6370314E"/>
    <w:rsid w:val="64747F00"/>
    <w:rsid w:val="64FD6B36"/>
    <w:rsid w:val="65EB0E69"/>
    <w:rsid w:val="66746855"/>
    <w:rsid w:val="667F60B7"/>
    <w:rsid w:val="66A870A3"/>
    <w:rsid w:val="66F35A29"/>
    <w:rsid w:val="678F10BD"/>
    <w:rsid w:val="68537464"/>
    <w:rsid w:val="68C57F09"/>
    <w:rsid w:val="6BBB4685"/>
    <w:rsid w:val="6CF272CA"/>
    <w:rsid w:val="6D0131CD"/>
    <w:rsid w:val="6D016897"/>
    <w:rsid w:val="6D116F45"/>
    <w:rsid w:val="6EC33740"/>
    <w:rsid w:val="6EE658EC"/>
    <w:rsid w:val="6FA2234A"/>
    <w:rsid w:val="6FC00FB9"/>
    <w:rsid w:val="6FD30157"/>
    <w:rsid w:val="711D243B"/>
    <w:rsid w:val="715916C6"/>
    <w:rsid w:val="726C5429"/>
    <w:rsid w:val="749018A2"/>
    <w:rsid w:val="74E70861"/>
    <w:rsid w:val="75F0011F"/>
    <w:rsid w:val="7686731E"/>
    <w:rsid w:val="778C2829"/>
    <w:rsid w:val="77D7083D"/>
    <w:rsid w:val="77E9764D"/>
    <w:rsid w:val="78135BBF"/>
    <w:rsid w:val="78387804"/>
    <w:rsid w:val="7A546ECE"/>
    <w:rsid w:val="7AA15E8B"/>
    <w:rsid w:val="7AB53611"/>
    <w:rsid w:val="7B646DB9"/>
    <w:rsid w:val="7CCA4BCF"/>
    <w:rsid w:val="7DB6110D"/>
    <w:rsid w:val="7E5111F0"/>
    <w:rsid w:val="7EAB3892"/>
    <w:rsid w:val="7F067C85"/>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character" w:customStyle="1" w:styleId="22">
    <w:name w:val="页脚 Char"/>
    <w:link w:val="12"/>
    <w:qFormat/>
    <w:uiPriority w:val="0"/>
    <w:rPr>
      <w:kern w:val="2"/>
      <w:sz w:val="18"/>
      <w:szCs w:val="18"/>
    </w:rPr>
  </w:style>
  <w:style w:type="character" w:customStyle="1" w:styleId="23">
    <w:name w:val="正文文本缩进 Char"/>
    <w:link w:val="7"/>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8280</Words>
  <Characters>8575</Characters>
  <Lines>30</Lines>
  <Paragraphs>8</Paragraphs>
  <TotalTime>0</TotalTime>
  <ScaleCrop>false</ScaleCrop>
  <LinksUpToDate>false</LinksUpToDate>
  <CharactersWithSpaces>9433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范文洲</cp:lastModifiedBy>
  <cp:lastPrinted>2025-07-23T01:16:00Z</cp:lastPrinted>
  <dcterms:modified xsi:type="dcterms:W3CDTF">2025-07-25T10:15:50Z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BC45F49CE6374AD093D543CCF61E5777_13</vt:lpwstr>
  </property>
  <property fmtid="{D5CDD505-2E9C-101B-9397-08002B2CF9AE}" pid="4" name="KSOTemplateDocerSaveRecord">
    <vt:lpwstr>eyJoZGlkIjoiZDJkZjg2YmUyZTdjMzQ4ZGRhZDcxZWU5OGZjYWUzMmUiLCJ1c2VySWQiOiIxNjQ1Mzc3MjM2In0=</vt:lpwstr>
  </property>
</Properties>
</file>