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8"/>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426F053D">
      <w:pPr>
        <w:jc w:val="center"/>
        <w:rPr>
          <w:rFonts w:hint="eastAsia" w:ascii="仿宋_GB2312" w:hAnsi="宋体" w:eastAsia="仿宋_GB2312"/>
          <w:b/>
          <w:color w:val="000000" w:themeColor="text1"/>
          <w:spacing w:val="28"/>
          <w:sz w:val="52"/>
          <w:szCs w:val="48"/>
          <w14:textFill>
            <w14:solidFill>
              <w14:schemeClr w14:val="tx1"/>
            </w14:solidFill>
          </w14:textFill>
        </w:rPr>
      </w:pPr>
      <w:r>
        <w:rPr>
          <w:rFonts w:hint="eastAsia" w:ascii="仿宋_GB2312" w:hAnsi="宋体" w:eastAsia="仿宋_GB2312"/>
          <w:b/>
          <w:spacing w:val="28"/>
          <w:sz w:val="52"/>
          <w:szCs w:val="48"/>
          <w:lang w:val="en-US" w:eastAsia="zh-CN"/>
        </w:rPr>
        <w:t>公道镇9MK渔光互补二期工程</w:t>
      </w:r>
    </w:p>
    <w:p w14:paraId="1779FD66">
      <w:pPr>
        <w:pStyle w:val="8"/>
        <w:ind w:left="0" w:leftChars="0"/>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箱式变压器（干变）</w:t>
      </w:r>
    </w:p>
    <w:p w14:paraId="0C40BD9A">
      <w:pPr>
        <w:pStyle w:val="8"/>
        <w:ind w:left="0" w:leftChars="0"/>
        <w:jc w:val="center"/>
        <w:rPr>
          <w:rFonts w:ascii="仿宋_GB2312" w:hAnsi="宋体" w:eastAsia="仿宋_GB2312"/>
          <w:b/>
          <w:color w:val="000000" w:themeColor="text1"/>
          <w:spacing w:val="28"/>
          <w:sz w:val="52"/>
          <w:szCs w:val="48"/>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材料</w:t>
      </w:r>
      <w:r>
        <w:rPr>
          <w:rFonts w:hint="eastAsia" w:ascii="仿宋_GB2312" w:hAnsi="宋体" w:eastAsia="仿宋_GB2312"/>
          <w:b/>
          <w:color w:val="000000" w:themeColor="text1"/>
          <w:spacing w:val="28"/>
          <w:sz w:val="52"/>
          <w:szCs w:val="48"/>
          <w14:textFill>
            <w14:solidFill>
              <w14:schemeClr w14:val="tx1"/>
            </w14:solidFill>
          </w14:textFill>
        </w:rPr>
        <w:t>采购</w:t>
      </w:r>
    </w:p>
    <w:p w14:paraId="6A4028EF">
      <w:pPr>
        <w:rPr>
          <w:rFonts w:hint="eastAsia"/>
        </w:rPr>
      </w:pPr>
    </w:p>
    <w:p w14:paraId="7E5C8944">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jc w:val="center"/>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发    放    日   期：</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2024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11</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22 </w:t>
      </w:r>
      <w:r>
        <w:rPr>
          <w:rFonts w:hint="eastAsia" w:ascii="仿宋_GB2312" w:hAnsi="宋体" w:eastAsia="仿宋_GB2312"/>
          <w:b/>
          <w:bCs/>
          <w:snapToGrid w:val="0"/>
          <w:color w:val="000000" w:themeColor="text1"/>
          <w:sz w:val="30"/>
          <w14:textFill>
            <w14:solidFill>
              <w14:schemeClr w14:val="tx1"/>
            </w14:solidFill>
          </w14:textFill>
        </w:rPr>
        <w:t>日</w:t>
      </w:r>
    </w:p>
    <w:p w14:paraId="298532C2">
      <w:pPr>
        <w:spacing w:line="360" w:lineRule="auto"/>
        <w:outlineLvl w:val="0"/>
        <w:rPr>
          <w:rFonts w:ascii="宋体" w:hAnsi="宋体"/>
          <w:b/>
          <w:color w:val="000000" w:themeColor="text1"/>
          <w:sz w:val="36"/>
          <w:szCs w:val="36"/>
          <w14:textFill>
            <w14:solidFill>
              <w14:schemeClr w14:val="tx1"/>
            </w14:solidFill>
          </w14:textFill>
        </w:rPr>
      </w:pPr>
    </w:p>
    <w:p w14:paraId="046208B6">
      <w:pPr>
        <w:pStyle w:val="8"/>
        <w:ind w:left="1260"/>
        <w:rPr>
          <w:color w:val="000000" w:themeColor="text1"/>
          <w14:textFill>
            <w14:solidFill>
              <w14:schemeClr w14:val="tx1"/>
            </w14:solidFill>
          </w14:textFill>
        </w:rPr>
      </w:pPr>
    </w:p>
    <w:p w14:paraId="4DB593EF">
      <w:pPr>
        <w:rPr>
          <w:color w:val="000000" w:themeColor="text1"/>
          <w14:textFill>
            <w14:solidFill>
              <w14:schemeClr w14:val="tx1"/>
            </w14:solidFill>
          </w14:textFill>
        </w:rPr>
      </w:pPr>
    </w:p>
    <w:p w14:paraId="38536585">
      <w:pPr>
        <w:rPr>
          <w:color w:val="000000" w:themeColor="text1"/>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460"/>
        <w:gridCol w:w="1264"/>
        <w:gridCol w:w="3499"/>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7C6E13">
            <w:pPr>
              <w:spacing w:line="380" w:lineRule="exact"/>
              <w:rPr>
                <w:rFonts w:hint="default" w:ascii="宋体" w:hAnsi="宋体"/>
                <w:color w:val="000000" w:themeColor="text1"/>
                <w:szCs w:val="21"/>
                <w:lang w:val="en-US"/>
                <w14:textFill>
                  <w14:solidFill>
                    <w14:schemeClr w14:val="tx1"/>
                  </w14:solidFill>
                </w14:textFill>
              </w:rPr>
            </w:pPr>
            <w:bookmarkStart w:id="4" w:name="_GoBack"/>
            <w:r>
              <w:rPr>
                <w:rFonts w:hint="eastAsia" w:ascii="宋体" w:hAnsi="宋体"/>
                <w:color w:val="000000" w:themeColor="text1"/>
                <w:szCs w:val="21"/>
                <w:lang w:val="en-US" w:eastAsia="zh-CN"/>
                <w14:textFill>
                  <w14:solidFill>
                    <w14:schemeClr w14:val="tx1"/>
                  </w14:solidFill>
                </w14:textFill>
              </w:rPr>
              <w:t>公道镇9MK渔光互补二期工程箱式变压器（干变）材料采购</w:t>
            </w:r>
            <w:bookmarkEnd w:id="4"/>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color w:val="000000" w:themeColor="text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箱式变压器（干变）</w:t>
            </w:r>
            <w:r>
              <w:rPr>
                <w:rFonts w:hint="eastAsia" w:ascii="宋体" w:hAnsi="宋体"/>
                <w:color w:val="000000" w:themeColor="text1"/>
                <w:szCs w:val="21"/>
                <w14:textFill>
                  <w14:solidFill>
                    <w14:schemeClr w14:val="tx1"/>
                  </w14:solidFill>
                </w14:textFill>
              </w:rPr>
              <w:t>采购</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06"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06"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06"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06"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06"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06"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22</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24</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06"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扬州市立新路14号扬州市上善建设工程有限公司 </w:t>
            </w:r>
            <w:r>
              <w:rPr>
                <w:rFonts w:hint="eastAsia" w:ascii="宋体" w:hAnsi="宋体"/>
                <w:color w:val="000000" w:themeColor="text1"/>
                <w:szCs w:val="21"/>
                <w:lang w:val="en-US" w:eastAsia="zh-CN"/>
                <w14:textFill>
                  <w14:solidFill>
                    <w14:schemeClr w14:val="tx1"/>
                  </w14:solidFill>
                </w14:textFill>
              </w:rPr>
              <w:t>城建园林公司</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06"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460"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264"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499"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06"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06"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0"/>
              </w:numPr>
              <w:spacing w:line="380" w:lineRule="exact"/>
              <w:ind w:left="357" w:leftChars="0" w:hanging="357" w:firstLineChars="0"/>
              <w:rPr>
                <w:rFonts w:ascii="宋体" w:hAnsi="宋体"/>
                <w:color w:val="000000" w:themeColor="text1"/>
                <w:szCs w:val="21"/>
                <w14:textFill>
                  <w14:solidFill>
                    <w14:schemeClr w14:val="tx1"/>
                  </w14:solidFill>
                </w14:textFill>
              </w:rPr>
            </w:pP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olor w:val="000000" w:themeColor="text1"/>
                <w:szCs w:val="21"/>
                <w14:textFill>
                  <w14:solidFill>
                    <w14:schemeClr w14:val="tx1"/>
                  </w14:solidFill>
                </w14:textFill>
              </w:rPr>
              <w:t>下文中与“前附表”内容不一致的，以“前附表”为准；</w:t>
            </w:r>
          </w:p>
          <w:p w14:paraId="050FE2F8">
            <w:pPr>
              <w:numPr>
                <w:ilvl w:val="0"/>
                <w:numId w:val="0"/>
              </w:numPr>
              <w:spacing w:line="380" w:lineRule="exact"/>
              <w:ind w:left="357" w:leftChars="0" w:hanging="357" w:firstLineChars="0"/>
              <w:rPr>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w:t>
            </w:r>
            <w:r>
              <w:rPr>
                <w:rFonts w:hint="eastAsia" w:ascii="宋体" w:hAnsi="宋体"/>
                <w:color w:val="000000" w:themeColor="text1"/>
                <w:szCs w:val="21"/>
                <w14:textFill>
                  <w14:solidFill>
                    <w14:schemeClr w14:val="tx1"/>
                  </w14:solidFill>
                </w14:textFill>
              </w:rPr>
              <w:t>本招标文件的解释权属于扬州市上善建设工程有限公司</w:t>
            </w: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06"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公道镇9MK渔光互补二期工程</w:t>
      </w:r>
      <w:r>
        <w:rPr>
          <w:rFonts w:hint="eastAsia" w:ascii="宋体" w:hAnsi="宋体"/>
          <w:color w:val="000000" w:themeColor="text1"/>
          <w:szCs w:val="21"/>
          <w14:textFill>
            <w14:solidFill>
              <w14:schemeClr w14:val="tx1"/>
            </w14:solidFill>
          </w14:textFill>
        </w:rPr>
        <w:t>需要采购</w:t>
      </w:r>
      <w:r>
        <w:rPr>
          <w:rFonts w:hint="eastAsia" w:ascii="宋体" w:hAnsi="宋体"/>
          <w:color w:val="000000" w:themeColor="text1"/>
          <w:szCs w:val="21"/>
          <w:lang w:val="en-US" w:eastAsia="zh-CN"/>
          <w14:textFill>
            <w14:solidFill>
              <w14:schemeClr w14:val="tx1"/>
            </w14:solidFill>
          </w14:textFill>
        </w:rPr>
        <w:t>一批箱式变压器（干变）</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634AEB9F">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7BBA034C">
      <w:pPr>
        <w:numPr>
          <w:ilvl w:val="0"/>
          <w:numId w:val="0"/>
        </w:numPr>
        <w:autoSpaceDE w:val="0"/>
        <w:autoSpaceDN w:val="0"/>
        <w:adjustRightInd w:val="0"/>
        <w:snapToGrid w:val="0"/>
        <w:spacing w:line="480" w:lineRule="exact"/>
        <w:ind w:left="-387" w:leftChars="0" w:firstLine="774" w:firstLineChars="0"/>
        <w:jc w:val="left"/>
        <w:rPr>
          <w:rFonts w:hint="default" w:ascii="宋体" w:hAnsi="宋体" w:eastAsia="宋体" w:cs="Times New Roman"/>
          <w:b/>
          <w:kern w:val="2"/>
          <w:sz w:val="21"/>
          <w:szCs w:val="21"/>
          <w:lang w:val="en-US" w:eastAsia="zh-CN" w:bidi="ar-SA"/>
        </w:rPr>
      </w:pPr>
      <w:r>
        <w:rPr>
          <w:rFonts w:hint="default" w:ascii="宋体" w:hAnsi="宋体" w:eastAsia="宋体" w:cs="Times New Roman"/>
          <w:b/>
          <w:kern w:val="2"/>
          <w:sz w:val="21"/>
          <w:szCs w:val="21"/>
          <w:lang w:val="en-US" w:eastAsia="zh-CN" w:bidi="ar-SA"/>
        </w:rPr>
        <w:t>2、</w:t>
      </w:r>
      <w:r>
        <w:rPr>
          <w:rFonts w:hint="eastAsia" w:ascii="宋体" w:hAnsi="宋体" w:cs="Times New Roman"/>
          <w:b/>
          <w:szCs w:val="21"/>
          <w:lang w:val="en-US" w:eastAsia="zh-CN"/>
        </w:rPr>
        <w:t>招标清单</w:t>
      </w:r>
    </w:p>
    <w:tbl>
      <w:tblPr>
        <w:tblStyle w:val="1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02"/>
        <w:gridCol w:w="1478"/>
        <w:gridCol w:w="664"/>
        <w:gridCol w:w="742"/>
        <w:gridCol w:w="1712"/>
        <w:gridCol w:w="1435"/>
      </w:tblGrid>
      <w:tr w14:paraId="0F4B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0" w:type="dxa"/>
            <w:vAlign w:val="center"/>
          </w:tcPr>
          <w:p w14:paraId="42B52483">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序号</w:t>
            </w:r>
          </w:p>
        </w:tc>
        <w:tc>
          <w:tcPr>
            <w:tcW w:w="2402" w:type="dxa"/>
            <w:vAlign w:val="center"/>
          </w:tcPr>
          <w:p w14:paraId="19A9F901">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名称</w:t>
            </w:r>
          </w:p>
        </w:tc>
        <w:tc>
          <w:tcPr>
            <w:tcW w:w="1478" w:type="dxa"/>
            <w:vAlign w:val="center"/>
          </w:tcPr>
          <w:p w14:paraId="7FDB7B2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规格</w:t>
            </w:r>
          </w:p>
        </w:tc>
        <w:tc>
          <w:tcPr>
            <w:tcW w:w="664" w:type="dxa"/>
            <w:vAlign w:val="center"/>
          </w:tcPr>
          <w:p w14:paraId="5273EC50">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单位</w:t>
            </w:r>
          </w:p>
        </w:tc>
        <w:tc>
          <w:tcPr>
            <w:tcW w:w="742" w:type="dxa"/>
            <w:vAlign w:val="center"/>
          </w:tcPr>
          <w:p w14:paraId="2812DA47">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数量</w:t>
            </w:r>
          </w:p>
        </w:tc>
        <w:tc>
          <w:tcPr>
            <w:tcW w:w="1712" w:type="dxa"/>
            <w:vAlign w:val="center"/>
          </w:tcPr>
          <w:p w14:paraId="38BE787B">
            <w:pPr>
              <w:pStyle w:val="8"/>
              <w:ind w:left="0" w:leftChars="0"/>
              <w:jc w:val="center"/>
              <w:rPr>
                <w:color w:val="000000" w:themeColor="text1"/>
                <w14:textFill>
                  <w14:solidFill>
                    <w14:schemeClr w14:val="tx1"/>
                  </w14:solidFill>
                </w14:textFill>
              </w:rPr>
            </w:pPr>
            <w:r>
              <w:rPr>
                <w:rFonts w:hint="eastAsia" w:ascii="仿宋_GB2312" w:hAnsi="Arial" w:eastAsia="仿宋_GB2312" w:cs="Arial"/>
                <w:color w:val="000000"/>
                <w:kern w:val="0"/>
                <w:sz w:val="20"/>
                <w:szCs w:val="20"/>
                <w:lang w:val="en-US" w:eastAsia="zh-CN"/>
              </w:rPr>
              <w:t>最高限价单价(含13%税)(元)</w:t>
            </w:r>
          </w:p>
        </w:tc>
        <w:tc>
          <w:tcPr>
            <w:tcW w:w="1435" w:type="dxa"/>
            <w:vAlign w:val="center"/>
          </w:tcPr>
          <w:p w14:paraId="42816243">
            <w:pPr>
              <w:pStyle w:val="8"/>
              <w:ind w:left="0" w:leftChars="0"/>
              <w:jc w:val="center"/>
              <w:rPr>
                <w:rFonts w:hint="eastAsia"/>
                <w:color w:val="000000" w:themeColor="text1"/>
                <w:lang w:val="en-US" w:eastAsia="zh-CN"/>
                <w14:textFill>
                  <w14:solidFill>
                    <w14:schemeClr w14:val="tx1"/>
                  </w14:solidFill>
                </w14:textFill>
              </w:rPr>
            </w:pPr>
            <w:r>
              <w:rPr>
                <w:rFonts w:hint="eastAsia" w:ascii="仿宋_GB2312" w:hAnsi="Arial" w:eastAsia="仿宋_GB2312" w:cs="Arial"/>
                <w:color w:val="000000"/>
                <w:kern w:val="0"/>
                <w:sz w:val="20"/>
                <w:szCs w:val="20"/>
                <w:lang w:val="en-US" w:eastAsia="zh-CN"/>
              </w:rPr>
              <w:t>总价(含13%税)(元)</w:t>
            </w:r>
          </w:p>
        </w:tc>
      </w:tr>
      <w:tr w14:paraId="0629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0" w:type="dxa"/>
            <w:vAlign w:val="center"/>
          </w:tcPr>
          <w:p w14:paraId="5EF40A87">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1</w:t>
            </w:r>
          </w:p>
        </w:tc>
        <w:tc>
          <w:tcPr>
            <w:tcW w:w="2402" w:type="dxa"/>
            <w:vAlign w:val="center"/>
          </w:tcPr>
          <w:p w14:paraId="35B448A8">
            <w:pPr>
              <w:pStyle w:val="8"/>
              <w:ind w:left="0" w:leftChars="0"/>
              <w:jc w:val="center"/>
              <w:rPr>
                <w:rFonts w:hint="default" w:ascii="仿宋_GB2312" w:hAnsi="Arial" w:eastAsia="仿宋_GB2312" w:cs="Arial"/>
                <w:color w:val="000000"/>
                <w:kern w:val="0"/>
                <w:sz w:val="20"/>
                <w:szCs w:val="20"/>
                <w:lang w:val="en-US" w:eastAsia="zh-CN"/>
              </w:rPr>
            </w:pPr>
            <w:r>
              <w:rPr>
                <w:rFonts w:hint="eastAsia" w:ascii="宋体" w:hAnsi="宋体"/>
                <w:color w:val="000000" w:themeColor="text1"/>
                <w:szCs w:val="21"/>
                <w:lang w:val="en-US" w:eastAsia="zh-CN"/>
                <w14:textFill>
                  <w14:solidFill>
                    <w14:schemeClr w14:val="tx1"/>
                  </w14:solidFill>
                </w14:textFill>
              </w:rPr>
              <w:t>箱式变压器（干变）</w:t>
            </w:r>
          </w:p>
        </w:tc>
        <w:tc>
          <w:tcPr>
            <w:tcW w:w="1478" w:type="dxa"/>
            <w:vAlign w:val="center"/>
          </w:tcPr>
          <w:p w14:paraId="7BC0C3C1">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SCB-2500/10</w:t>
            </w:r>
          </w:p>
        </w:tc>
        <w:tc>
          <w:tcPr>
            <w:tcW w:w="664" w:type="dxa"/>
            <w:vAlign w:val="center"/>
          </w:tcPr>
          <w:p w14:paraId="117B83A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块</w:t>
            </w:r>
          </w:p>
        </w:tc>
        <w:tc>
          <w:tcPr>
            <w:tcW w:w="742" w:type="dxa"/>
            <w:vAlign w:val="center"/>
          </w:tcPr>
          <w:p w14:paraId="26154DCA">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3</w:t>
            </w:r>
          </w:p>
        </w:tc>
        <w:tc>
          <w:tcPr>
            <w:tcW w:w="1712" w:type="dxa"/>
            <w:vAlign w:val="center"/>
          </w:tcPr>
          <w:p w14:paraId="74118F0A">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c>
          <w:tcPr>
            <w:tcW w:w="1435" w:type="dxa"/>
            <w:vAlign w:val="center"/>
          </w:tcPr>
          <w:p w14:paraId="5F6FECB1">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108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r>
      <w:tr w14:paraId="422E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0" w:type="dxa"/>
            <w:vAlign w:val="center"/>
          </w:tcPr>
          <w:p w14:paraId="75EEE4CB">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2</w:t>
            </w:r>
          </w:p>
        </w:tc>
        <w:tc>
          <w:tcPr>
            <w:tcW w:w="2402" w:type="dxa"/>
            <w:vAlign w:val="center"/>
          </w:tcPr>
          <w:p w14:paraId="2E245AB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宋体" w:hAnsi="宋体"/>
                <w:color w:val="000000" w:themeColor="text1"/>
                <w:szCs w:val="21"/>
                <w:lang w:val="en-US" w:eastAsia="zh-CN"/>
                <w14:textFill>
                  <w14:solidFill>
                    <w14:schemeClr w14:val="tx1"/>
                  </w14:solidFill>
                </w14:textFill>
              </w:rPr>
              <w:t>箱式变压器（干变）</w:t>
            </w:r>
          </w:p>
        </w:tc>
        <w:tc>
          <w:tcPr>
            <w:tcW w:w="1478" w:type="dxa"/>
            <w:vAlign w:val="center"/>
          </w:tcPr>
          <w:p w14:paraId="255A740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SCB-2000/10</w:t>
            </w:r>
          </w:p>
        </w:tc>
        <w:tc>
          <w:tcPr>
            <w:tcW w:w="664" w:type="dxa"/>
            <w:vAlign w:val="center"/>
          </w:tcPr>
          <w:p w14:paraId="6D2F73C2">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块</w:t>
            </w:r>
          </w:p>
        </w:tc>
        <w:tc>
          <w:tcPr>
            <w:tcW w:w="742" w:type="dxa"/>
            <w:vAlign w:val="center"/>
          </w:tcPr>
          <w:p w14:paraId="3AF11698">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1</w:t>
            </w:r>
          </w:p>
        </w:tc>
        <w:tc>
          <w:tcPr>
            <w:tcW w:w="1712" w:type="dxa"/>
            <w:vAlign w:val="center"/>
          </w:tcPr>
          <w:p w14:paraId="45F91DD2">
            <w:pPr>
              <w:keepNext w:val="0"/>
              <w:keepLines w:val="0"/>
              <w:widowControl/>
              <w:suppressLineNumbers w:val="0"/>
              <w:jc w:val="center"/>
              <w:textAlignment w:val="center"/>
              <w:rPr>
                <w:rFonts w:hint="eastAsia"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435" w:type="dxa"/>
            <w:vAlign w:val="center"/>
          </w:tcPr>
          <w:p w14:paraId="5F4C32B1">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14:paraId="6A8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778" w:type="dxa"/>
            <w:gridSpan w:val="6"/>
            <w:vAlign w:val="center"/>
          </w:tcPr>
          <w:p w14:paraId="235D5579">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合计</w:t>
            </w:r>
          </w:p>
        </w:tc>
        <w:tc>
          <w:tcPr>
            <w:tcW w:w="1435" w:type="dxa"/>
            <w:shd w:val="clear" w:color="auto" w:fill="auto"/>
            <w:vAlign w:val="center"/>
          </w:tcPr>
          <w:p w14:paraId="4B25C1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bl>
    <w:p w14:paraId="0CBC3176">
      <w:pPr>
        <w:pStyle w:val="3"/>
        <w:numPr>
          <w:ilvl w:val="0"/>
          <w:numId w:val="0"/>
        </w:numPr>
        <w:spacing w:line="360" w:lineRule="auto"/>
        <w:ind w:firstLine="241" w:firstLineChars="100"/>
        <w:rPr>
          <w:rFonts w:hint="default" w:ascii="宋体" w:hAnsi="宋体" w:eastAsia="宋体"/>
          <w:b/>
          <w:color w:val="FF0000"/>
          <w:lang w:val="en-US" w:eastAsia="zh-CN"/>
        </w:rPr>
      </w:pPr>
      <w:r>
        <w:rPr>
          <w:rFonts w:hint="default" w:ascii="宋体" w:hAnsi="宋体" w:eastAsia="宋体" w:cs="Times New Roman"/>
          <w:b/>
          <w:color w:val="FF0000"/>
          <w:lang w:val="en-US" w:eastAsia="zh-CN"/>
        </w:rPr>
        <w:t>3、</w:t>
      </w:r>
      <w:r>
        <w:rPr>
          <w:rFonts w:hint="eastAsia" w:ascii="宋体" w:hAnsi="宋体" w:eastAsia="宋体" w:cs="Times New Roman"/>
          <w:b/>
          <w:color w:val="FF0000"/>
        </w:rPr>
        <w:t>型号</w:t>
      </w:r>
      <w:r>
        <w:rPr>
          <w:rFonts w:hint="eastAsia" w:ascii="宋体" w:hAnsi="宋体"/>
          <w:b/>
          <w:color w:val="FF0000"/>
          <w:lang w:val="en-US" w:eastAsia="zh-CN"/>
        </w:rPr>
        <w:t>、</w:t>
      </w:r>
      <w:r>
        <w:rPr>
          <w:rFonts w:hint="eastAsia" w:ascii="宋体" w:hAnsi="宋体" w:eastAsia="宋体" w:cs="Times New Roman"/>
          <w:b/>
          <w:color w:val="FF0000"/>
          <w:lang w:val="en-US" w:eastAsia="zh-CN"/>
        </w:rPr>
        <w:t>参数:</w:t>
      </w:r>
    </w:p>
    <w:p w14:paraId="264B6CFC">
      <w:pPr>
        <w:pStyle w:val="4"/>
        <w:spacing w:line="360" w:lineRule="auto"/>
        <w:rPr>
          <w:rFonts w:hint="eastAsia" w:ascii="宋体" w:hAnsi="宋体"/>
          <w:color w:val="FF0000"/>
        </w:rPr>
      </w:pPr>
      <w:r>
        <w:rPr>
          <w:rFonts w:ascii="宋体" w:hAnsi="宋体"/>
          <w:color w:val="FF0000"/>
        </w:rPr>
        <w:t>SCB</w:t>
      </w:r>
      <w:r>
        <w:rPr>
          <w:rFonts w:hint="eastAsia" w:ascii="宋体" w:hAnsi="宋体"/>
          <w:color w:val="FF0000"/>
        </w:rPr>
        <w:t>14</w:t>
      </w:r>
      <w:r>
        <w:rPr>
          <w:rFonts w:ascii="宋体" w:hAnsi="宋体"/>
          <w:color w:val="FF0000"/>
        </w:rPr>
        <w:t>-</w:t>
      </w:r>
      <w:r>
        <w:rPr>
          <w:rFonts w:hint="eastAsia" w:ascii="宋体" w:hAnsi="宋体"/>
          <w:color w:val="FF0000"/>
        </w:rPr>
        <w:t>2000</w:t>
      </w:r>
      <w:r>
        <w:rPr>
          <w:rFonts w:ascii="宋体" w:hAnsi="宋体"/>
          <w:color w:val="FF0000"/>
        </w:rPr>
        <w:t>kVA/</w:t>
      </w:r>
      <w:r>
        <w:rPr>
          <w:rFonts w:hint="eastAsia" w:ascii="宋体" w:hAnsi="宋体"/>
          <w:color w:val="FF0000"/>
        </w:rPr>
        <w:t>1</w:t>
      </w:r>
      <w:r>
        <w:rPr>
          <w:rFonts w:ascii="宋体" w:hAnsi="宋体"/>
          <w:color w:val="FF0000"/>
        </w:rPr>
        <w:t>0kV-0.</w:t>
      </w:r>
      <w:r>
        <w:rPr>
          <w:rFonts w:hint="eastAsia" w:ascii="宋体" w:hAnsi="宋体"/>
          <w:color w:val="FF0000"/>
        </w:rPr>
        <w:t>8，10.5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r>
        <w:rPr>
          <w:rFonts w:hint="eastAsia" w:ascii="宋体" w:hAnsi="宋体"/>
          <w:color w:val="FF0000"/>
        </w:rPr>
        <w:t>，Ud=6%，Dy11，低压侧配断路器，干式升压变1台。</w:t>
      </w:r>
    </w:p>
    <w:p w14:paraId="191D1AB5">
      <w:pPr>
        <w:pStyle w:val="4"/>
        <w:spacing w:line="360" w:lineRule="auto"/>
        <w:rPr>
          <w:rFonts w:hint="eastAsia" w:ascii="宋体" w:hAnsi="宋体"/>
          <w:color w:val="FF0000"/>
        </w:rPr>
      </w:pPr>
      <w:bookmarkStart w:id="0" w:name="_Toc287365499"/>
      <w:bookmarkStart w:id="1" w:name="_Toc442272971"/>
      <w:r>
        <w:rPr>
          <w:rFonts w:ascii="宋体" w:hAnsi="宋体"/>
          <w:color w:val="FF0000"/>
        </w:rPr>
        <w:t>SCB</w:t>
      </w:r>
      <w:r>
        <w:rPr>
          <w:rFonts w:hint="eastAsia" w:ascii="宋体" w:hAnsi="宋体"/>
          <w:color w:val="FF0000"/>
        </w:rPr>
        <w:t>14</w:t>
      </w:r>
      <w:r>
        <w:rPr>
          <w:rFonts w:ascii="宋体" w:hAnsi="宋体"/>
          <w:color w:val="FF0000"/>
        </w:rPr>
        <w:t>-</w:t>
      </w:r>
      <w:r>
        <w:rPr>
          <w:rFonts w:hint="eastAsia" w:ascii="宋体" w:hAnsi="宋体"/>
          <w:color w:val="FF0000"/>
        </w:rPr>
        <w:t>2500</w:t>
      </w:r>
      <w:r>
        <w:rPr>
          <w:rFonts w:ascii="宋体" w:hAnsi="宋体"/>
          <w:color w:val="FF0000"/>
        </w:rPr>
        <w:t>kVA/</w:t>
      </w:r>
      <w:r>
        <w:rPr>
          <w:rFonts w:hint="eastAsia" w:ascii="宋体" w:hAnsi="宋体"/>
          <w:color w:val="FF0000"/>
        </w:rPr>
        <w:t>1</w:t>
      </w:r>
      <w:r>
        <w:rPr>
          <w:rFonts w:ascii="宋体" w:hAnsi="宋体"/>
          <w:color w:val="FF0000"/>
        </w:rPr>
        <w:t>0kV-0.</w:t>
      </w:r>
      <w:r>
        <w:rPr>
          <w:rFonts w:hint="eastAsia" w:ascii="宋体" w:hAnsi="宋体"/>
          <w:color w:val="FF0000"/>
        </w:rPr>
        <w:t>8，10.5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r>
        <w:rPr>
          <w:rFonts w:hint="eastAsia" w:ascii="宋体" w:hAnsi="宋体"/>
          <w:color w:val="FF0000"/>
        </w:rPr>
        <w:t>，Ud=6%，Dy11，低压侧配断路器，干式升压变3台。</w:t>
      </w:r>
    </w:p>
    <w:bookmarkEnd w:id="0"/>
    <w:bookmarkEnd w:id="1"/>
    <w:p w14:paraId="5FF9E74A">
      <w:pPr>
        <w:spacing w:line="360" w:lineRule="auto"/>
        <w:ind w:firstLine="360" w:firstLineChars="150"/>
        <w:jc w:val="left"/>
        <w:rPr>
          <w:rFonts w:ascii="宋体" w:hAnsi="宋体"/>
          <w:color w:val="FF0000"/>
          <w:sz w:val="24"/>
        </w:rPr>
      </w:pPr>
      <w:r>
        <w:rPr>
          <w:rFonts w:hint="eastAsia" w:ascii="宋体" w:hAnsi="宋体"/>
          <w:color w:val="FF0000"/>
          <w:sz w:val="24"/>
        </w:rPr>
        <w:t>(1)</w:t>
      </w:r>
      <w:r>
        <w:rPr>
          <w:rFonts w:ascii="宋体" w:hAnsi="宋体"/>
          <w:color w:val="FF0000"/>
          <w:sz w:val="24"/>
        </w:rPr>
        <w:t>额定容量：</w:t>
      </w:r>
      <w:r>
        <w:rPr>
          <w:rFonts w:hint="eastAsia" w:ascii="宋体" w:hAnsi="宋体"/>
          <w:color w:val="FF0000"/>
          <w:sz w:val="24"/>
        </w:rPr>
        <w:t>2000</w:t>
      </w:r>
      <w:r>
        <w:rPr>
          <w:rFonts w:ascii="宋体" w:hAnsi="宋体"/>
          <w:color w:val="FF0000"/>
          <w:sz w:val="24"/>
        </w:rPr>
        <w:t>kVA</w:t>
      </w:r>
    </w:p>
    <w:p w14:paraId="241AD7A3">
      <w:pPr>
        <w:spacing w:line="360" w:lineRule="auto"/>
        <w:ind w:firstLine="720" w:firstLineChars="300"/>
        <w:jc w:val="left"/>
        <w:rPr>
          <w:rFonts w:ascii="宋体" w:hAnsi="宋体"/>
          <w:color w:val="FF0000"/>
          <w:sz w:val="24"/>
        </w:rPr>
      </w:pPr>
      <w:r>
        <w:rPr>
          <w:rFonts w:ascii="宋体" w:hAnsi="宋体"/>
          <w:color w:val="FF0000"/>
          <w:sz w:val="24"/>
        </w:rPr>
        <w:t>额定电压：高压</w:t>
      </w:r>
      <w:r>
        <w:rPr>
          <w:rFonts w:hint="eastAsia" w:ascii="宋体" w:hAnsi="宋体"/>
          <w:color w:val="FF0000"/>
          <w:sz w:val="24"/>
        </w:rPr>
        <w:t>10.5</w:t>
      </w:r>
      <w:r>
        <w:rPr>
          <w:rFonts w:ascii="宋体" w:hAnsi="宋体"/>
          <w:color w:val="FF0000"/>
          <w:sz w:val="24"/>
        </w:rPr>
        <w:t>kV</w:t>
      </w:r>
    </w:p>
    <w:p w14:paraId="53C58931">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w:t>
      </w:r>
      <w:r>
        <w:rPr>
          <w:rFonts w:ascii="宋体" w:hAnsi="宋体"/>
          <w:color w:val="FF0000"/>
          <w:sz w:val="24"/>
        </w:rPr>
        <w:t>kV</w:t>
      </w:r>
    </w:p>
    <w:p w14:paraId="7F7D1897">
      <w:pPr>
        <w:spacing w:line="360" w:lineRule="auto"/>
        <w:ind w:firstLine="720" w:firstLineChars="300"/>
        <w:jc w:val="left"/>
        <w:rPr>
          <w:rFonts w:ascii="宋体" w:hAnsi="宋体"/>
          <w:color w:val="FF0000"/>
          <w:sz w:val="24"/>
        </w:rPr>
      </w:pPr>
      <w:r>
        <w:rPr>
          <w:rFonts w:ascii="宋体" w:hAnsi="宋体"/>
          <w:color w:val="FF0000"/>
          <w:sz w:val="24"/>
        </w:rPr>
        <w:t>最高电压：高压</w:t>
      </w:r>
      <w:r>
        <w:rPr>
          <w:rFonts w:hint="eastAsia" w:ascii="宋体" w:hAnsi="宋体"/>
          <w:color w:val="FF0000"/>
          <w:sz w:val="24"/>
        </w:rPr>
        <w:t>12</w:t>
      </w:r>
      <w:r>
        <w:rPr>
          <w:rFonts w:ascii="宋体" w:hAnsi="宋体"/>
          <w:color w:val="FF0000"/>
          <w:sz w:val="24"/>
        </w:rPr>
        <w:t>kV</w:t>
      </w:r>
    </w:p>
    <w:p w14:paraId="43903F72">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0.83</w:t>
      </w:r>
      <w:r>
        <w:rPr>
          <w:rFonts w:ascii="宋体" w:hAnsi="宋体"/>
          <w:color w:val="FF0000"/>
          <w:sz w:val="24"/>
        </w:rPr>
        <w:t>kV</w:t>
      </w:r>
    </w:p>
    <w:p w14:paraId="66C93557">
      <w:pPr>
        <w:pStyle w:val="4"/>
        <w:spacing w:line="360" w:lineRule="auto"/>
        <w:ind w:firstLine="660" w:firstLineChars="275"/>
        <w:rPr>
          <w:rFonts w:hint="eastAsia" w:ascii="宋体" w:hAnsi="宋体"/>
          <w:color w:val="FF0000"/>
        </w:rPr>
      </w:pPr>
      <w:r>
        <w:rPr>
          <w:rFonts w:ascii="宋体" w:hAnsi="宋体"/>
          <w:color w:val="FF0000"/>
        </w:rPr>
        <w:t>分接范围：</w:t>
      </w:r>
      <w:r>
        <w:rPr>
          <w:rFonts w:hint="eastAsia" w:ascii="宋体" w:hAnsi="宋体"/>
          <w:color w:val="FF0000"/>
        </w:rPr>
        <w:t>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p>
    <w:p w14:paraId="3B36EC7E">
      <w:pPr>
        <w:spacing w:line="360" w:lineRule="auto"/>
        <w:ind w:firstLine="360" w:firstLineChars="150"/>
        <w:jc w:val="left"/>
        <w:rPr>
          <w:rFonts w:ascii="宋体" w:hAnsi="宋体"/>
          <w:color w:val="FF0000"/>
          <w:sz w:val="24"/>
        </w:rPr>
      </w:pPr>
      <w:r>
        <w:rPr>
          <w:rFonts w:hint="eastAsia" w:ascii="宋体" w:hAnsi="宋体"/>
          <w:color w:val="FF0000"/>
          <w:sz w:val="24"/>
        </w:rPr>
        <w:t>(3)</w:t>
      </w:r>
      <w:r>
        <w:rPr>
          <w:rFonts w:ascii="宋体" w:hAnsi="宋体"/>
          <w:color w:val="FF0000"/>
          <w:sz w:val="24"/>
        </w:rPr>
        <w:t>额定容量：</w:t>
      </w:r>
      <w:r>
        <w:rPr>
          <w:rFonts w:hint="eastAsia" w:ascii="宋体" w:hAnsi="宋体"/>
          <w:color w:val="FF0000"/>
          <w:sz w:val="24"/>
        </w:rPr>
        <w:t>2500</w:t>
      </w:r>
      <w:r>
        <w:rPr>
          <w:rFonts w:ascii="宋体" w:hAnsi="宋体"/>
          <w:color w:val="FF0000"/>
          <w:sz w:val="24"/>
        </w:rPr>
        <w:t>kVA</w:t>
      </w:r>
    </w:p>
    <w:p w14:paraId="0F05ADDF">
      <w:pPr>
        <w:spacing w:line="360" w:lineRule="auto"/>
        <w:ind w:firstLine="720" w:firstLineChars="300"/>
        <w:jc w:val="left"/>
        <w:rPr>
          <w:rFonts w:ascii="宋体" w:hAnsi="宋体"/>
          <w:color w:val="FF0000"/>
          <w:sz w:val="24"/>
        </w:rPr>
      </w:pPr>
      <w:r>
        <w:rPr>
          <w:rFonts w:ascii="宋体" w:hAnsi="宋体"/>
          <w:color w:val="FF0000"/>
          <w:sz w:val="24"/>
        </w:rPr>
        <w:t>额定电压：高压</w:t>
      </w:r>
      <w:r>
        <w:rPr>
          <w:rFonts w:hint="eastAsia" w:ascii="宋体" w:hAnsi="宋体"/>
          <w:color w:val="FF0000"/>
          <w:sz w:val="24"/>
        </w:rPr>
        <w:t>10.5</w:t>
      </w:r>
      <w:r>
        <w:rPr>
          <w:rFonts w:ascii="宋体" w:hAnsi="宋体"/>
          <w:color w:val="FF0000"/>
          <w:sz w:val="24"/>
        </w:rPr>
        <w:t>kV</w:t>
      </w:r>
    </w:p>
    <w:p w14:paraId="16AD34DB">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w:t>
      </w:r>
      <w:r>
        <w:rPr>
          <w:rFonts w:ascii="宋体" w:hAnsi="宋体"/>
          <w:color w:val="FF0000"/>
          <w:sz w:val="24"/>
        </w:rPr>
        <w:t>kV</w:t>
      </w:r>
    </w:p>
    <w:p w14:paraId="7A25A777">
      <w:pPr>
        <w:spacing w:line="360" w:lineRule="auto"/>
        <w:ind w:firstLine="720" w:firstLineChars="300"/>
        <w:jc w:val="left"/>
        <w:rPr>
          <w:rFonts w:ascii="宋体" w:hAnsi="宋体"/>
          <w:color w:val="FF0000"/>
          <w:sz w:val="24"/>
        </w:rPr>
      </w:pPr>
      <w:r>
        <w:rPr>
          <w:rFonts w:ascii="宋体" w:hAnsi="宋体"/>
          <w:color w:val="FF0000"/>
          <w:sz w:val="24"/>
        </w:rPr>
        <w:t>最高电压：高压</w:t>
      </w:r>
      <w:r>
        <w:rPr>
          <w:rFonts w:hint="eastAsia" w:ascii="宋体" w:hAnsi="宋体"/>
          <w:color w:val="FF0000"/>
          <w:sz w:val="24"/>
        </w:rPr>
        <w:t>12</w:t>
      </w:r>
      <w:r>
        <w:rPr>
          <w:rFonts w:ascii="宋体" w:hAnsi="宋体"/>
          <w:color w:val="FF0000"/>
          <w:sz w:val="24"/>
        </w:rPr>
        <w:t>kV</w:t>
      </w:r>
    </w:p>
    <w:p w14:paraId="004265DF">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0.83</w:t>
      </w:r>
      <w:r>
        <w:rPr>
          <w:rFonts w:ascii="宋体" w:hAnsi="宋体"/>
          <w:color w:val="FF0000"/>
          <w:sz w:val="24"/>
        </w:rPr>
        <w:t>kV</w:t>
      </w:r>
    </w:p>
    <w:p w14:paraId="58ADF77A">
      <w:pPr>
        <w:pStyle w:val="4"/>
        <w:spacing w:line="360" w:lineRule="auto"/>
        <w:ind w:firstLine="660" w:firstLineChars="275"/>
        <w:rPr>
          <w:rFonts w:hint="eastAsia" w:ascii="宋体" w:hAnsi="宋体"/>
          <w:color w:val="FF0000"/>
        </w:rPr>
      </w:pPr>
      <w:r>
        <w:rPr>
          <w:rFonts w:ascii="宋体" w:hAnsi="宋体"/>
          <w:color w:val="FF0000"/>
        </w:rPr>
        <w:t>分接范围：</w:t>
      </w:r>
      <w:r>
        <w:rPr>
          <w:rFonts w:hint="eastAsia" w:ascii="宋体" w:hAnsi="宋体"/>
          <w:color w:val="FF0000"/>
        </w:rPr>
        <w:t>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p>
    <w:p w14:paraId="47C3AE19">
      <w:pPr>
        <w:numPr>
          <w:ilvl w:val="0"/>
          <w:numId w:val="0"/>
        </w:numPr>
        <w:spacing w:line="360" w:lineRule="auto"/>
        <w:ind w:firstLine="422" w:firstLineChars="2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4、</w:t>
      </w:r>
      <w:r>
        <w:rPr>
          <w:rFonts w:hint="eastAsia" w:ascii="宋体" w:hAnsi="宋体"/>
          <w:b/>
          <w:color w:val="000000"/>
        </w:rPr>
        <w:t>技术条件</w:t>
      </w:r>
      <w:r>
        <w:rPr>
          <w:rFonts w:hint="eastAsia" w:ascii="宋体" w:hAnsi="宋体" w:eastAsia="宋体" w:cs="Times New Roman"/>
          <w:b/>
          <w:kern w:val="2"/>
          <w:sz w:val="21"/>
          <w:szCs w:val="21"/>
          <w:lang w:val="en-US" w:eastAsia="zh-CN" w:bidi="ar-SA"/>
        </w:rPr>
        <w:t>：</w:t>
      </w:r>
    </w:p>
    <w:p w14:paraId="0F542FA4">
      <w:pPr>
        <w:numPr>
          <w:ilvl w:val="0"/>
          <w:numId w:val="0"/>
        </w:numPr>
        <w:spacing w:line="360" w:lineRule="auto"/>
        <w:ind w:firstLine="480" w:firstLineChars="200"/>
        <w:rPr>
          <w:rFonts w:hint="eastAsia" w:ascii="宋体" w:hAnsi="宋体"/>
          <w:color w:val="000000"/>
          <w:sz w:val="24"/>
          <w:szCs w:val="24"/>
        </w:rPr>
      </w:pPr>
      <w:r>
        <w:rPr>
          <w:rFonts w:hint="eastAsia" w:ascii="宋体" w:hAnsi="宋体"/>
          <w:color w:val="000000"/>
          <w:sz w:val="24"/>
        </w:rPr>
        <w:t>4.1</w:t>
      </w:r>
      <w:r>
        <w:rPr>
          <w:rFonts w:hint="eastAsia" w:ascii="宋体" w:hAnsi="宋体"/>
          <w:color w:val="000000"/>
          <w:sz w:val="24"/>
          <w:szCs w:val="24"/>
        </w:rPr>
        <w:t>高压进线</w:t>
      </w:r>
    </w:p>
    <w:p w14:paraId="7C0D174C">
      <w:pPr>
        <w:spacing w:line="360" w:lineRule="auto"/>
        <w:ind w:firstLine="480" w:firstLineChars="200"/>
        <w:rPr>
          <w:color w:val="FF0000"/>
          <w:sz w:val="24"/>
          <w:szCs w:val="24"/>
        </w:rPr>
      </w:pPr>
      <w:r>
        <w:rPr>
          <w:rFonts w:hint="eastAsia"/>
          <w:color w:val="FF0000"/>
          <w:sz w:val="24"/>
          <w:szCs w:val="24"/>
        </w:rPr>
        <w:t>高压采用电缆出线，在高压室预留位置，电缆出线在箱变底部，能够接入3根型号为ZRC-YJV22-8.7/15-3x400mm²电缆；10kV电缆接线如为铜线鼻子接线方式，需按照高压专用表面搪锡线鼻子设计和加工高压开关柜的接线端子并保证搭接面积满足载流量要求。</w:t>
      </w:r>
    </w:p>
    <w:p w14:paraId="39765C38">
      <w:pPr>
        <w:spacing w:line="360" w:lineRule="auto"/>
        <w:ind w:firstLine="480" w:firstLineChars="200"/>
        <w:rPr>
          <w:rFonts w:hint="eastAsia"/>
          <w:sz w:val="24"/>
          <w:szCs w:val="24"/>
        </w:rPr>
      </w:pPr>
      <w:r>
        <w:rPr>
          <w:rFonts w:hint="eastAsia" w:ascii="宋体" w:hAnsi="宋体"/>
          <w:color w:val="000000"/>
          <w:sz w:val="24"/>
        </w:rPr>
        <w:t>4.</w:t>
      </w:r>
      <w:r>
        <w:rPr>
          <w:rFonts w:hint="eastAsia" w:ascii="宋体" w:hAnsi="宋体"/>
          <w:color w:val="000000"/>
          <w:sz w:val="24"/>
          <w:lang w:val="en-US" w:eastAsia="zh-CN"/>
        </w:rPr>
        <w:t>2</w:t>
      </w:r>
      <w:r>
        <w:rPr>
          <w:rFonts w:hint="eastAsia"/>
          <w:sz w:val="24"/>
          <w:szCs w:val="24"/>
        </w:rPr>
        <w:t>低压出线</w:t>
      </w:r>
    </w:p>
    <w:p w14:paraId="530F2E83">
      <w:pPr>
        <w:spacing w:line="360" w:lineRule="auto"/>
        <w:ind w:firstLine="480" w:firstLineChars="200"/>
        <w:rPr>
          <w:color w:val="FF0000"/>
          <w:sz w:val="24"/>
          <w:szCs w:val="24"/>
        </w:rPr>
      </w:pPr>
      <w:r>
        <w:rPr>
          <w:rFonts w:hint="eastAsia"/>
          <w:color w:val="FF0000"/>
          <w:sz w:val="24"/>
          <w:szCs w:val="24"/>
        </w:rPr>
        <w:t>1台2000kVA升压变电站箱变低压侧的主电缆，进线电缆分别为每相8根240mm</w:t>
      </w:r>
      <w:r>
        <w:rPr>
          <w:rFonts w:hint="eastAsia"/>
          <w:color w:val="FF0000"/>
          <w:sz w:val="24"/>
          <w:szCs w:val="24"/>
          <w:vertAlign w:val="superscript"/>
        </w:rPr>
        <w:t>2</w:t>
      </w:r>
      <w:r>
        <w:rPr>
          <w:rFonts w:hint="eastAsia"/>
          <w:color w:val="FF0000"/>
          <w:sz w:val="24"/>
          <w:szCs w:val="24"/>
        </w:rPr>
        <w:t>（电缆型号ZRC-YJV22-1.8/3kV）；1台2500kVA升压变电站箱变低压侧的主电缆，进线电缆采用每相10根240mm</w:t>
      </w:r>
      <w:r>
        <w:rPr>
          <w:rFonts w:hint="eastAsia"/>
          <w:color w:val="FF0000"/>
          <w:sz w:val="24"/>
          <w:szCs w:val="24"/>
          <w:vertAlign w:val="superscript"/>
        </w:rPr>
        <w:t>2</w:t>
      </w:r>
      <w:r>
        <w:rPr>
          <w:rFonts w:hint="eastAsia"/>
          <w:color w:val="FF0000"/>
          <w:sz w:val="24"/>
          <w:szCs w:val="24"/>
        </w:rPr>
        <w:t>（电缆型号ZRC-YJV22-1.8/3kV）；设计制造时应充分考虑低压电缆及控制电缆进线的安装位置。</w:t>
      </w:r>
    </w:p>
    <w:p w14:paraId="5000F1FA">
      <w:pPr>
        <w:spacing w:line="500" w:lineRule="exact"/>
        <w:ind w:firstLine="480" w:firstLineChars="200"/>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3</w:t>
      </w:r>
      <w:r>
        <w:rPr>
          <w:rFonts w:ascii="宋体" w:hAnsi="宋体"/>
          <w:color w:val="000000"/>
          <w:sz w:val="24"/>
        </w:rPr>
        <w:t>特殊要求</w:t>
      </w:r>
    </w:p>
    <w:p w14:paraId="10AD1562">
      <w:pPr>
        <w:spacing w:line="360" w:lineRule="auto"/>
        <w:ind w:firstLine="480" w:firstLineChars="200"/>
        <w:rPr>
          <w:rFonts w:hint="eastAsia" w:ascii="宋体" w:hAnsi="宋体"/>
          <w:color w:val="FF0000"/>
          <w:sz w:val="24"/>
        </w:rPr>
      </w:pPr>
      <w:r>
        <w:rPr>
          <w:rFonts w:hint="eastAsia" w:ascii="宋体" w:hAnsi="宋体"/>
          <w:color w:val="FF0000"/>
          <w:sz w:val="24"/>
        </w:rPr>
        <w:t>箱式变压器需配置测控保护装置，箱变内温控装置须将温控装置故障信号和温度高温报警、温度高温跳闸等干结点信号输出至测控装置，测控保护装置应至少具有两个RS485接口，两个以太网输出接口，一个光纤输出口，便于与综合自动化系统通讯，变压器测控装置能够操控低压侧断路器。测控装置应选用国产优质品牌。</w:t>
      </w:r>
    </w:p>
    <w:p w14:paraId="3860ECDD">
      <w:pPr>
        <w:numPr>
          <w:ilvl w:val="0"/>
          <w:numId w:val="0"/>
        </w:numPr>
        <w:autoSpaceDE w:val="0"/>
        <w:autoSpaceDN w:val="0"/>
        <w:adjustRightInd w:val="0"/>
        <w:snapToGrid w:val="0"/>
        <w:spacing w:line="480" w:lineRule="exact"/>
        <w:ind w:left="-387" w:leftChars="0" w:firstLine="774" w:firstLineChars="0"/>
        <w:jc w:val="left"/>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5</w:t>
      </w:r>
      <w:r>
        <w:rPr>
          <w:rFonts w:hint="eastAsia" w:ascii="宋体" w:hAnsi="宋体" w:eastAsia="宋体" w:cs="Times New Roman"/>
          <w:b/>
          <w:kern w:val="2"/>
          <w:sz w:val="21"/>
          <w:szCs w:val="21"/>
          <w:lang w:val="en-US" w:eastAsia="zh-CN" w:bidi="ar-SA"/>
        </w:rPr>
        <w:t>、结算方式：中标材料单价（含13%税）*对应材料数量=结算总价（含13%税）</w:t>
      </w:r>
    </w:p>
    <w:p w14:paraId="3B748071">
      <w:pPr>
        <w:autoSpaceDE w:val="0"/>
        <w:autoSpaceDN w:val="0"/>
        <w:adjustRightInd w:val="0"/>
        <w:snapToGrid w:val="0"/>
        <w:spacing w:line="480" w:lineRule="exact"/>
        <w:ind w:firstLine="420" w:firstLineChars="200"/>
        <w:rPr>
          <w:rFonts w:hint="eastAsia" w:ascii="宋体" w:hAnsi="宋体"/>
          <w:color w:val="auto"/>
          <w:szCs w:val="21"/>
        </w:rPr>
      </w:pPr>
    </w:p>
    <w:p w14:paraId="72AA2DC4">
      <w:pPr>
        <w:autoSpaceDE w:val="0"/>
        <w:autoSpaceDN w:val="0"/>
        <w:adjustRightInd w:val="0"/>
        <w:snapToGrid w:val="0"/>
        <w:spacing w:line="480" w:lineRule="exact"/>
        <w:ind w:firstLine="561"/>
        <w:rPr>
          <w:rFonts w:hint="eastAsia" w:ascii="宋体" w:hAnsi="宋体"/>
          <w:b/>
          <w:bCs/>
          <w:szCs w:val="21"/>
        </w:rPr>
      </w:pPr>
      <w:r>
        <w:rPr>
          <w:rFonts w:hint="eastAsia" w:ascii="宋体" w:hAnsi="宋体"/>
          <w:b/>
          <w:bCs/>
          <w:szCs w:val="21"/>
        </w:rPr>
        <w:t>三、投标须知：</w:t>
      </w:r>
    </w:p>
    <w:p w14:paraId="63DA78E4">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4A0B7B1F">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rPr>
        <w:t>投标价格为材料送达招标方指定地点的价格</w:t>
      </w:r>
      <w:r>
        <w:rPr>
          <w:rFonts w:hint="eastAsia" w:ascii="宋体" w:hAnsi="宋体"/>
          <w:szCs w:val="21"/>
          <w:lang w:eastAsia="zh-CN"/>
        </w:rPr>
        <w:t>，</w:t>
      </w:r>
      <w:r>
        <w:rPr>
          <w:rFonts w:hint="eastAsia" w:ascii="宋体" w:hAnsi="宋体"/>
          <w:szCs w:val="21"/>
          <w:lang w:val="en-US" w:eastAsia="zh-CN"/>
        </w:rPr>
        <w:t>须提供投标书及报价清单</w:t>
      </w:r>
      <w:r>
        <w:rPr>
          <w:rFonts w:hint="eastAsia" w:ascii="宋体" w:hAnsi="宋体"/>
          <w:szCs w:val="21"/>
        </w:rPr>
        <w:t>。</w:t>
      </w:r>
    </w:p>
    <w:p w14:paraId="6589049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39890878">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p>
    <w:p w14:paraId="4DFFCA06">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lang w:val="en-US" w:eastAsia="zh-CN"/>
        </w:rPr>
        <w:t>5、</w:t>
      </w:r>
      <w:r>
        <w:rPr>
          <w:rFonts w:hint="eastAsia" w:ascii="宋体" w:hAnsi="宋体" w:eastAsia="宋体"/>
          <w:szCs w:val="21"/>
          <w:lang w:val="en-US" w:eastAsia="zh-CN"/>
        </w:rPr>
        <w:t>投标单位须承诺</w:t>
      </w:r>
      <w:r>
        <w:rPr>
          <w:rFonts w:hint="eastAsia" w:ascii="宋体" w:hAnsi="宋体"/>
          <w:szCs w:val="21"/>
          <w:lang w:val="en-US" w:eastAsia="zh-CN"/>
        </w:rPr>
        <w:t>供货材料为</w:t>
      </w:r>
      <w:r>
        <w:rPr>
          <w:rFonts w:hint="eastAsia" w:ascii="宋体" w:hAnsi="宋体" w:eastAsia="宋体"/>
          <w:szCs w:val="21"/>
          <w:lang w:val="en-US" w:eastAsia="zh-CN"/>
        </w:rPr>
        <w:t>以下品牌：</w:t>
      </w:r>
      <w:r>
        <w:rPr>
          <w:rFonts w:hint="eastAsia" w:ascii="宋体" w:hAnsi="宋体"/>
          <w:szCs w:val="21"/>
          <w:lang w:val="en-US" w:eastAsia="zh-CN"/>
        </w:rPr>
        <w:t>大全，南瑞，华鹏，华鼎。投标单位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或厂家代理证明（复印件加盖公章）。</w:t>
      </w:r>
    </w:p>
    <w:p w14:paraId="31BE4A8E">
      <w:pPr>
        <w:autoSpaceDE w:val="0"/>
        <w:autoSpaceDN w:val="0"/>
        <w:adjustRightInd w:val="0"/>
        <w:snapToGrid w:val="0"/>
        <w:spacing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0C1E1A9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3FD9C469">
      <w:pPr>
        <w:autoSpaceDE w:val="0"/>
        <w:autoSpaceDN w:val="0"/>
        <w:adjustRightInd w:val="0"/>
        <w:snapToGrid w:val="0"/>
        <w:spacing w:line="48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2" w:name="EB66450c37613b4d8bb5d2ef34d49a190f"/>
      <w:r>
        <w:rPr>
          <w:rFonts w:hint="eastAsia" w:ascii="宋体" w:hAnsi="宋体"/>
          <w:szCs w:val="21"/>
        </w:rPr>
        <w:t xml:space="preserve"> </w:t>
      </w:r>
      <w:bookmarkEnd w:id="2"/>
      <w:bookmarkStart w:id="3" w:name="EB0f01764a82a04f44abcb858eaf46c6a5"/>
      <w:r>
        <w:rPr>
          <w:rFonts w:hint="eastAsia" w:ascii="宋体" w:hAnsi="宋体"/>
          <w:szCs w:val="21"/>
        </w:rPr>
        <w:t xml:space="preserve"> </w:t>
      </w:r>
      <w:bookmarkEnd w:id="3"/>
    </w:p>
    <w:p w14:paraId="4BCD6B8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b/>
          <w:szCs w:val="21"/>
        </w:rPr>
        <w:t>五、评标</w:t>
      </w:r>
      <w:r>
        <w:rPr>
          <w:rFonts w:hint="eastAsia" w:ascii="宋体" w:hAnsi="宋体"/>
          <w:szCs w:val="21"/>
          <w:lang w:val="en-US" w:eastAsia="zh-CN"/>
        </w:rPr>
        <w:t xml:space="preserve"> </w:t>
      </w:r>
    </w:p>
    <w:p w14:paraId="11F156DE">
      <w:pPr>
        <w:autoSpaceDE w:val="0"/>
        <w:autoSpaceDN w:val="0"/>
        <w:adjustRightInd w:val="0"/>
        <w:snapToGrid w:val="0"/>
        <w:spacing w:line="48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 </w:t>
      </w:r>
    </w:p>
    <w:p w14:paraId="12B8835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5.1评标委员会 </w:t>
      </w:r>
    </w:p>
    <w:p w14:paraId="4BC3E687">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评标由招标人依法组建的评标委员会负责。评标委员会由有关技术、经济等方面的专家组成。 </w:t>
      </w:r>
    </w:p>
    <w:p w14:paraId="1866D4F5">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5.2评审程序 </w:t>
      </w:r>
    </w:p>
    <w:p w14:paraId="16DBA0D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评标按照下列程序进行：1）评标准备；2）初步评审；3）详细评审；4）推荐中标候选人。 </w:t>
      </w:r>
    </w:p>
    <w:p w14:paraId="73F08FE0">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5.3评标准备 </w:t>
      </w:r>
    </w:p>
    <w:p w14:paraId="69E16E6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5.3.1评标委员会成员签到 </w:t>
      </w:r>
    </w:p>
    <w:p w14:paraId="62F1A5F1">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评标委员会成员到达评标现场时应在签到表上签到以证明出席。 </w:t>
      </w:r>
    </w:p>
    <w:p w14:paraId="495E123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5.3.2 评标委员会的分工 </w:t>
      </w:r>
    </w:p>
    <w:p w14:paraId="68AE91E8">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评标委员会首先推选一名评标委员会负责人。评标委员会负责人负责评标活动的组织领导工作。评标委员会负责人在与其他评标委员会成员商议的基础上可以将评标委员会划分为技术组和商务组。 </w:t>
      </w:r>
    </w:p>
    <w:p w14:paraId="64241881">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5.3.3 熟悉文件资料 </w:t>
      </w:r>
    </w:p>
    <w:p w14:paraId="120AA1C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评标委员会成员应认真研究招标文件，了解和熟悉招标目的、招标范围、主要合同条件、技术标准和要求、质量标准，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36CBA86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5.4初步评审 </w:t>
      </w:r>
    </w:p>
    <w:p w14:paraId="1F531695">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5.4.1响应性评审 </w:t>
      </w:r>
    </w:p>
    <w:p w14:paraId="155ECDD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5.4.2算术错误修正 </w:t>
      </w:r>
    </w:p>
    <w:p w14:paraId="6E6D372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5.4.3澄清、说明或补正 </w:t>
      </w:r>
    </w:p>
    <w:p w14:paraId="32BBAC9E">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在初步评审过程中，评标委员会应当就投标文件中不明确的内容要求投标人进行澄清． </w:t>
      </w:r>
    </w:p>
    <w:p w14:paraId="16580F0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5.5详细评审 </w:t>
      </w:r>
    </w:p>
    <w:p w14:paraId="66D68DC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只有通过了初步评审、被判定为合格的投标方可进入详细评审。 </w:t>
      </w:r>
    </w:p>
    <w:p w14:paraId="666DA659">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1、投标文件载明的货物包装方式、检验标准和方法等不符合招标文件的要求； </w:t>
      </w:r>
    </w:p>
    <w:p w14:paraId="6CA05FE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2、投标文件提出了不能满足招标文件要求或招标人不能接受的工程验收、计量、价款结算支付办法； </w:t>
      </w:r>
    </w:p>
    <w:p w14:paraId="358E2040">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3、经评标委员会认定投标人的投标报价低于成本价的； </w:t>
      </w:r>
    </w:p>
    <w:p w14:paraId="6E6A220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4、投标人未按照招标文件的要求提供必须提交的相关资料的； </w:t>
      </w:r>
    </w:p>
    <w:p w14:paraId="4382138E">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5、投标文件附有招标人不能接受的条件；</w:t>
      </w:r>
    </w:p>
    <w:p w14:paraId="424E12D8">
      <w:pPr>
        <w:autoSpaceDE w:val="0"/>
        <w:autoSpaceDN w:val="0"/>
        <w:adjustRightInd w:val="0"/>
        <w:snapToGrid w:val="0"/>
        <w:spacing w:line="480" w:lineRule="exact"/>
        <w:ind w:firstLine="422" w:firstLineChars="200"/>
        <w:rPr>
          <w:rFonts w:hint="eastAsia" w:ascii="宋体" w:hAnsi="宋体"/>
          <w:b/>
          <w:color w:val="000000"/>
          <w:szCs w:val="21"/>
        </w:rPr>
      </w:pPr>
      <w:r>
        <w:rPr>
          <w:rFonts w:hint="eastAsia" w:ascii="宋体" w:hAnsi="宋体"/>
          <w:b/>
          <w:color w:val="000000"/>
          <w:szCs w:val="21"/>
          <w:lang w:val="en-US" w:eastAsia="zh-CN"/>
        </w:rPr>
        <w:t>六、</w:t>
      </w:r>
      <w:r>
        <w:rPr>
          <w:rFonts w:hint="eastAsia" w:ascii="宋体" w:hAnsi="宋体"/>
          <w:b/>
          <w:szCs w:val="21"/>
        </w:rPr>
        <w:t xml:space="preserve">评标标准及方法 </w:t>
      </w:r>
      <w:r>
        <w:rPr>
          <w:rFonts w:hint="eastAsia" w:ascii="宋体" w:hAnsi="宋体"/>
          <w:b/>
          <w:color w:val="000000"/>
          <w:szCs w:val="21"/>
        </w:rPr>
        <w:t xml:space="preserve"> </w:t>
      </w:r>
    </w:p>
    <w:p w14:paraId="1E5FAA82">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384"/>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本次评标采用</w:t>
      </w:r>
      <w:r>
        <w:rPr>
          <w:rFonts w:hint="eastAsia" w:ascii="宋体" w:hAnsi="宋体" w:cs="宋体"/>
          <w:color w:val="FF0000"/>
          <w:sz w:val="21"/>
          <w:szCs w:val="21"/>
          <w:shd w:val="clear" w:color="auto" w:fill="FFFFFF"/>
        </w:rPr>
        <w:t>综合评分法</w:t>
      </w:r>
      <w:r>
        <w:rPr>
          <w:rFonts w:hint="eastAsia" w:ascii="宋体" w:hAnsi="宋体" w:cs="宋体"/>
          <w:color w:val="000000"/>
          <w:sz w:val="21"/>
          <w:szCs w:val="21"/>
          <w:shd w:val="clear" w:color="auto" w:fill="FFFFFF"/>
        </w:rPr>
        <w:t>，评标委员会通</w:t>
      </w:r>
      <w:r>
        <w:rPr>
          <w:rFonts w:hint="eastAsia" w:ascii="Times New Roman" w:hAnsi="Times New Roman" w:eastAsia="宋体" w:cs="Times New Roman"/>
        </w:rPr>
        <w:t>过对</w:t>
      </w:r>
      <w:r>
        <w:rPr>
          <w:rFonts w:hint="eastAsia" w:cs="Times New Roman"/>
          <w:color w:val="FF0000"/>
          <w:lang w:val="en-US" w:eastAsia="zh-CN"/>
        </w:rPr>
        <w:t>经济</w:t>
      </w:r>
      <w:r>
        <w:rPr>
          <w:rFonts w:hint="eastAsia" w:ascii="Times New Roman" w:hAnsi="Times New Roman" w:eastAsia="宋体" w:cs="Times New Roman"/>
          <w:color w:val="FF0000"/>
          <w:lang w:val="en-US" w:eastAsia="zh-CN"/>
        </w:rPr>
        <w:t>、</w:t>
      </w:r>
      <w:r>
        <w:rPr>
          <w:rFonts w:hint="eastAsia" w:cs="Times New Roman"/>
          <w:color w:val="FF0000"/>
          <w:lang w:val="en-US" w:eastAsia="zh-CN"/>
        </w:rPr>
        <w:t>技术</w:t>
      </w:r>
      <w:r>
        <w:rPr>
          <w:rFonts w:hint="eastAsia" w:ascii="宋体" w:hAnsi="宋体" w:cs="宋体"/>
          <w:color w:val="000000"/>
          <w:sz w:val="21"/>
          <w:szCs w:val="21"/>
          <w:shd w:val="clear" w:color="auto" w:fill="FFFFFF"/>
        </w:rPr>
        <w:t xml:space="preserve">等因素的综合评审进行打分，综合得分最高的投标人排名第一，依此类推确定排名顺序，按排名顺序先后推荐为中标候选人。  </w:t>
      </w:r>
    </w:p>
    <w:p w14:paraId="44E31E19">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384"/>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总则</w:t>
      </w:r>
      <w:r>
        <w:rPr>
          <w:rFonts w:hint="eastAsia" w:ascii="宋体" w:hAnsi="宋体" w:cs="宋体"/>
          <w:color w:val="000000"/>
          <w:sz w:val="21"/>
          <w:szCs w:val="21"/>
          <w:shd w:val="clear" w:color="auto" w:fill="FFFFFF"/>
          <w:lang w:eastAsia="zh-CN"/>
        </w:rPr>
        <w:t>：</w:t>
      </w:r>
      <w:r>
        <w:rPr>
          <w:rFonts w:hint="eastAsia" w:ascii="宋体" w:hAnsi="宋体" w:cs="宋体"/>
          <w:color w:val="000000"/>
          <w:sz w:val="21"/>
          <w:szCs w:val="21"/>
          <w:shd w:val="clear" w:color="auto" w:fill="FFFFFF"/>
        </w:rPr>
        <w:t>评委会成员应严格按下列具体评审内容及相应分值客观、公正地进行评分。</w:t>
      </w:r>
    </w:p>
    <w:p w14:paraId="4C07909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firstLineChars="200"/>
        <w:jc w:val="left"/>
        <w:textAlignment w:val="auto"/>
        <w:rPr>
          <w:rFonts w:hint="eastAsia" w:ascii="宋体" w:hAnsi="宋体" w:cs="宋体"/>
          <w:color w:val="FF0000"/>
          <w:sz w:val="21"/>
          <w:szCs w:val="21"/>
          <w:shd w:val="clear" w:color="auto" w:fill="FFFFFF"/>
          <w:lang w:val="en-US" w:eastAsia="zh-CN"/>
        </w:rPr>
      </w:pPr>
      <w:r>
        <w:rPr>
          <w:rFonts w:hint="eastAsia" w:ascii="宋体" w:hAnsi="宋体" w:cs="宋体"/>
          <w:color w:val="000000"/>
          <w:sz w:val="21"/>
          <w:szCs w:val="21"/>
          <w:shd w:val="clear" w:color="auto" w:fill="FFFFFF"/>
        </w:rPr>
        <w:t>本次评标按百分制评分，其中</w:t>
      </w:r>
      <w:r>
        <w:rPr>
          <w:rFonts w:hint="eastAsia" w:ascii="宋体" w:hAnsi="宋体" w:cs="宋体"/>
          <w:color w:val="FF0000"/>
          <w:sz w:val="21"/>
          <w:szCs w:val="21"/>
          <w:shd w:val="clear" w:color="auto" w:fill="FFFFFF"/>
          <w:lang w:val="en-US" w:eastAsia="zh-CN"/>
        </w:rPr>
        <w:t>经济标为70分，技术标为24分，商务标为6分。</w:t>
      </w:r>
    </w:p>
    <w:p w14:paraId="29C921F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firstLineChars="200"/>
        <w:jc w:val="left"/>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具体评分</w:t>
      </w:r>
      <w:r>
        <w:rPr>
          <w:rFonts w:hint="eastAsia" w:ascii="宋体" w:hAnsi="宋体" w:eastAsia="宋体" w:cs="宋体"/>
          <w:color w:val="000000"/>
          <w:sz w:val="21"/>
          <w:szCs w:val="21"/>
          <w:shd w:val="clear" w:color="auto" w:fill="FFFFFF"/>
        </w:rPr>
        <w:t>标准</w:t>
      </w:r>
      <w:r>
        <w:rPr>
          <w:rFonts w:hint="eastAsia" w:ascii="宋体" w:hAnsi="宋体" w:cs="宋体"/>
          <w:color w:val="000000"/>
          <w:sz w:val="21"/>
          <w:szCs w:val="21"/>
          <w:shd w:val="clear" w:color="auto" w:fill="FFFFFF"/>
          <w:lang w:val="en-US" w:eastAsia="zh-CN"/>
        </w:rPr>
        <w:t>表</w:t>
      </w:r>
      <w:r>
        <w:rPr>
          <w:rFonts w:hint="eastAsia" w:ascii="宋体" w:hAnsi="宋体" w:cs="宋体"/>
          <w:color w:val="000000"/>
          <w:sz w:val="21"/>
          <w:szCs w:val="21"/>
          <w:shd w:val="clear" w:color="auto" w:fill="FFFFFF"/>
        </w:rPr>
        <w:t>如下：</w:t>
      </w:r>
    </w:p>
    <w:tbl>
      <w:tblPr>
        <w:tblStyle w:val="18"/>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29"/>
        <w:gridCol w:w="2950"/>
        <w:gridCol w:w="4658"/>
      </w:tblGrid>
      <w:tr w14:paraId="34FE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90B0698">
            <w:pPr>
              <w:jc w:val="center"/>
              <w:rPr>
                <w:rFonts w:hint="eastAsia" w:eastAsia="宋体"/>
                <w:color w:val="000000"/>
                <w:lang w:eastAsia="zh-CN"/>
              </w:rPr>
            </w:pPr>
            <w:r>
              <w:rPr>
                <w:rFonts w:hint="eastAsia" w:ascii="宋体" w:hAnsi="宋体"/>
                <w:color w:val="000000"/>
                <w:lang w:val="en-US" w:eastAsia="zh-CN"/>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5D71133">
            <w:pPr>
              <w:jc w:val="center"/>
              <w:rPr>
                <w:rFonts w:hint="default" w:ascii="宋体" w:hAnsi="宋体" w:eastAsia="宋体"/>
                <w:color w:val="000000"/>
                <w:lang w:val="en-US" w:eastAsia="zh-CN"/>
              </w:rPr>
            </w:pPr>
            <w:r>
              <w:rPr>
                <w:rFonts w:hint="eastAsia" w:ascii="宋体" w:hAnsi="宋体"/>
                <w:color w:val="000000"/>
              </w:rPr>
              <w:t>评分因素</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2DFB4C4">
            <w:pPr>
              <w:jc w:val="center"/>
              <w:rPr>
                <w:rFonts w:hint="eastAsia" w:eastAsia="宋体"/>
                <w:color w:val="000000"/>
                <w:lang w:eastAsia="zh-CN"/>
              </w:rPr>
            </w:pPr>
            <w:r>
              <w:rPr>
                <w:rFonts w:hint="eastAsia" w:ascii="宋体" w:hAnsi="宋体"/>
                <w:color w:val="000000"/>
              </w:rPr>
              <w:t>评分</w:t>
            </w:r>
            <w:r>
              <w:rPr>
                <w:rFonts w:hint="eastAsia" w:ascii="宋体" w:hAnsi="宋体"/>
                <w:color w:val="000000"/>
                <w:lang w:val="en-US" w:eastAsia="zh-CN"/>
              </w:rPr>
              <w:t>细则</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0AEC79D2">
            <w:pPr>
              <w:jc w:val="center"/>
              <w:rPr>
                <w:color w:val="000000"/>
              </w:rPr>
            </w:pPr>
            <w:r>
              <w:rPr>
                <w:rFonts w:hint="eastAsia"/>
                <w:color w:val="000000"/>
              </w:rPr>
              <w:t>评分标准</w:t>
            </w:r>
          </w:p>
        </w:tc>
      </w:tr>
      <w:tr w14:paraId="0C17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75" w:type="dxa"/>
            <w:vMerge w:val="restart"/>
            <w:tcBorders>
              <w:top w:val="single" w:color="auto" w:sz="4" w:space="0"/>
              <w:left w:val="single" w:color="auto" w:sz="4" w:space="0"/>
              <w:right w:val="single" w:color="auto" w:sz="4" w:space="0"/>
            </w:tcBorders>
            <w:noWrap w:val="0"/>
            <w:vAlign w:val="center"/>
          </w:tcPr>
          <w:p w14:paraId="7CA00F93">
            <w:pPr>
              <w:jc w:val="center"/>
              <w:rPr>
                <w:rFonts w:hint="eastAsia"/>
                <w:color w:val="000000"/>
              </w:rPr>
            </w:pPr>
            <w:r>
              <w:rPr>
                <w:rFonts w:hint="eastAsia"/>
                <w:color w:val="000000"/>
                <w:lang w:val="en-US" w:eastAsia="zh-CN"/>
              </w:rPr>
              <w:t>1</w:t>
            </w:r>
          </w:p>
        </w:tc>
        <w:tc>
          <w:tcPr>
            <w:tcW w:w="1729" w:type="dxa"/>
            <w:vMerge w:val="restart"/>
            <w:tcBorders>
              <w:top w:val="single" w:color="auto" w:sz="4" w:space="0"/>
              <w:left w:val="single" w:color="auto" w:sz="4" w:space="0"/>
              <w:right w:val="single" w:color="auto" w:sz="4" w:space="0"/>
            </w:tcBorders>
            <w:noWrap w:val="0"/>
            <w:vAlign w:val="center"/>
          </w:tcPr>
          <w:p w14:paraId="7908D1AF">
            <w:pPr>
              <w:jc w:val="center"/>
              <w:rPr>
                <w:rFonts w:hint="default" w:ascii="宋体" w:hAnsi="宋体" w:eastAsia="宋体"/>
                <w:color w:val="000000"/>
                <w:lang w:val="en-US" w:eastAsia="zh-CN"/>
              </w:rPr>
            </w:pPr>
            <w:r>
              <w:rPr>
                <w:rFonts w:hint="eastAsia" w:ascii="宋体" w:hAnsi="宋体"/>
                <w:color w:val="000000"/>
                <w:lang w:val="en-US" w:eastAsia="zh-CN"/>
              </w:rPr>
              <w:t>经济标</w:t>
            </w:r>
          </w:p>
        </w:tc>
        <w:tc>
          <w:tcPr>
            <w:tcW w:w="2950" w:type="dxa"/>
            <w:vMerge w:val="restart"/>
            <w:tcBorders>
              <w:top w:val="single" w:color="auto" w:sz="4" w:space="0"/>
              <w:left w:val="single" w:color="auto" w:sz="4" w:space="0"/>
              <w:bottom w:val="single" w:color="auto" w:sz="4" w:space="0"/>
              <w:right w:val="single" w:color="auto" w:sz="4" w:space="0"/>
            </w:tcBorders>
            <w:noWrap w:val="0"/>
            <w:vAlign w:val="center"/>
          </w:tcPr>
          <w:p w14:paraId="66C5EF77">
            <w:pPr>
              <w:rPr>
                <w:color w:val="000000"/>
              </w:rPr>
            </w:pPr>
            <w:r>
              <w:rPr>
                <w:rFonts w:hint="eastAsia" w:ascii="宋体" w:hAnsi="宋体"/>
                <w:color w:val="000000"/>
              </w:rPr>
              <w:t>投标报价（</w:t>
            </w:r>
            <w:r>
              <w:rPr>
                <w:rFonts w:hint="eastAsia" w:ascii="宋体" w:hAnsi="宋体"/>
                <w:color w:val="000000"/>
                <w:u w:val="none"/>
                <w:lang w:val="en-US" w:eastAsia="zh-CN"/>
              </w:rPr>
              <w:t>70</w:t>
            </w:r>
            <w:r>
              <w:rPr>
                <w:rFonts w:hint="eastAsia" w:ascii="宋体" w:hAnsi="宋体"/>
                <w:color w:val="000000"/>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2CBC560F">
            <w:pPr>
              <w:rPr>
                <w:color w:val="000000"/>
              </w:rPr>
            </w:pPr>
            <w:r>
              <w:rPr>
                <w:rFonts w:hint="eastAsia"/>
                <w:color w:val="000000"/>
                <w:lang w:val="en-US" w:eastAsia="zh-CN"/>
              </w:rPr>
              <w:t>平均价为</w:t>
            </w:r>
            <w:r>
              <w:rPr>
                <w:rFonts w:hint="eastAsia"/>
                <w:color w:val="000000"/>
              </w:rPr>
              <w:t>基准价</w:t>
            </w:r>
            <w:r>
              <w:rPr>
                <w:rFonts w:hint="eastAsia" w:ascii="宋体" w:hAnsi="宋体"/>
                <w:color w:val="000000"/>
              </w:rPr>
              <w:t>（</w:t>
            </w:r>
            <w:r>
              <w:rPr>
                <w:rFonts w:hint="eastAsia" w:ascii="宋体" w:hAnsi="宋体"/>
                <w:color w:val="000000"/>
                <w:u w:val="single"/>
                <w:lang w:val="en-US" w:eastAsia="zh-CN"/>
              </w:rPr>
              <w:t>70</w:t>
            </w:r>
            <w:r>
              <w:rPr>
                <w:rFonts w:hint="eastAsia" w:ascii="宋体" w:hAnsi="宋体"/>
                <w:color w:val="000000"/>
              </w:rPr>
              <w:t>）分</w:t>
            </w:r>
          </w:p>
        </w:tc>
      </w:tr>
      <w:tr w14:paraId="3BC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75" w:type="dxa"/>
            <w:vMerge w:val="continue"/>
            <w:tcBorders>
              <w:left w:val="single" w:color="auto" w:sz="4" w:space="0"/>
              <w:right w:val="single" w:color="auto" w:sz="4" w:space="0"/>
            </w:tcBorders>
            <w:noWrap w:val="0"/>
            <w:vAlign w:val="center"/>
          </w:tcPr>
          <w:p w14:paraId="66DB8D96">
            <w:pPr>
              <w:jc w:val="center"/>
              <w:rPr>
                <w:rFonts w:hint="eastAsia"/>
                <w:color w:val="000000"/>
              </w:rPr>
            </w:pPr>
          </w:p>
        </w:tc>
        <w:tc>
          <w:tcPr>
            <w:tcW w:w="1729" w:type="dxa"/>
            <w:vMerge w:val="continue"/>
            <w:tcBorders>
              <w:left w:val="single" w:color="auto" w:sz="4" w:space="0"/>
              <w:right w:val="single" w:color="auto" w:sz="4" w:space="0"/>
            </w:tcBorders>
            <w:noWrap w:val="0"/>
            <w:vAlign w:val="center"/>
          </w:tcPr>
          <w:p w14:paraId="71BB6478">
            <w:pPr>
              <w:rPr>
                <w:color w:val="000000"/>
              </w:rPr>
            </w:pPr>
          </w:p>
        </w:tc>
        <w:tc>
          <w:tcPr>
            <w:tcW w:w="2950" w:type="dxa"/>
            <w:vMerge w:val="continue"/>
            <w:tcBorders>
              <w:top w:val="single" w:color="auto" w:sz="4" w:space="0"/>
              <w:left w:val="single" w:color="auto" w:sz="4" w:space="0"/>
              <w:bottom w:val="single" w:color="auto" w:sz="4" w:space="0"/>
              <w:right w:val="single" w:color="auto" w:sz="4" w:space="0"/>
            </w:tcBorders>
            <w:noWrap w:val="0"/>
            <w:vAlign w:val="center"/>
          </w:tcPr>
          <w:p w14:paraId="1E48E6FF">
            <w:pPr>
              <w:rPr>
                <w:color w:val="000000"/>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119A12C">
            <w:pPr>
              <w:rPr>
                <w:rFonts w:hint="eastAsia" w:ascii="Times New Roman" w:hAnsi="Times New Roman" w:eastAsia="宋体" w:cs="Times New Roman"/>
                <w:color w:val="auto"/>
              </w:rPr>
            </w:pPr>
            <w:r>
              <w:rPr>
                <w:rFonts w:hint="eastAsia" w:ascii="Times New Roman" w:hAnsi="Times New Roman" w:eastAsia="宋体" w:cs="Times New Roman"/>
                <w:color w:val="auto"/>
              </w:rPr>
              <w:t>每高于基准价1%扣</w:t>
            </w:r>
            <w:r>
              <w:rPr>
                <w:rFonts w:hint="eastAsia" w:cs="Times New Roman"/>
                <w:color w:val="auto"/>
                <w:lang w:val="en-US" w:eastAsia="zh-CN"/>
              </w:rPr>
              <w:t>1</w:t>
            </w:r>
            <w:r>
              <w:rPr>
                <w:rFonts w:hint="eastAsia" w:ascii="Times New Roman" w:hAnsi="Times New Roman" w:eastAsia="宋体" w:cs="Times New Roman"/>
                <w:color w:val="auto"/>
              </w:rPr>
              <w:t>分，偏离不足1%的，按照插入法计算得分。</w:t>
            </w:r>
          </w:p>
        </w:tc>
      </w:tr>
      <w:tr w14:paraId="66C3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75" w:type="dxa"/>
            <w:vMerge w:val="continue"/>
            <w:tcBorders>
              <w:left w:val="single" w:color="auto" w:sz="4" w:space="0"/>
              <w:bottom w:val="single" w:color="auto" w:sz="4" w:space="0"/>
              <w:right w:val="single" w:color="auto" w:sz="4" w:space="0"/>
            </w:tcBorders>
            <w:noWrap w:val="0"/>
            <w:vAlign w:val="center"/>
          </w:tcPr>
          <w:p w14:paraId="7E047F27">
            <w:pPr>
              <w:jc w:val="center"/>
              <w:rPr>
                <w:rFonts w:hint="eastAsia"/>
                <w:color w:val="000000"/>
              </w:rPr>
            </w:pPr>
          </w:p>
        </w:tc>
        <w:tc>
          <w:tcPr>
            <w:tcW w:w="1729" w:type="dxa"/>
            <w:vMerge w:val="continue"/>
            <w:tcBorders>
              <w:left w:val="single" w:color="auto" w:sz="4" w:space="0"/>
              <w:bottom w:val="single" w:color="auto" w:sz="4" w:space="0"/>
              <w:right w:val="single" w:color="auto" w:sz="4" w:space="0"/>
            </w:tcBorders>
            <w:noWrap w:val="0"/>
            <w:vAlign w:val="center"/>
          </w:tcPr>
          <w:p w14:paraId="3DC6A41C">
            <w:pPr>
              <w:rPr>
                <w:color w:val="000000"/>
              </w:rPr>
            </w:pPr>
          </w:p>
        </w:tc>
        <w:tc>
          <w:tcPr>
            <w:tcW w:w="2950" w:type="dxa"/>
            <w:vMerge w:val="continue"/>
            <w:tcBorders>
              <w:top w:val="single" w:color="auto" w:sz="4" w:space="0"/>
              <w:left w:val="single" w:color="auto" w:sz="4" w:space="0"/>
              <w:bottom w:val="single" w:color="auto" w:sz="4" w:space="0"/>
              <w:right w:val="single" w:color="auto" w:sz="4" w:space="0"/>
            </w:tcBorders>
            <w:noWrap w:val="0"/>
            <w:vAlign w:val="center"/>
          </w:tcPr>
          <w:p w14:paraId="1895794F">
            <w:pPr>
              <w:rPr>
                <w:color w:val="000000"/>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47C73CD3">
            <w:pPr>
              <w:rPr>
                <w:rFonts w:hint="eastAsia" w:ascii="Times New Roman" w:hAnsi="Times New Roman" w:eastAsia="宋体" w:cs="Times New Roman"/>
                <w:color w:val="auto"/>
              </w:rPr>
            </w:pPr>
            <w:r>
              <w:rPr>
                <w:rFonts w:hint="eastAsia" w:ascii="Times New Roman" w:hAnsi="Times New Roman" w:eastAsia="宋体" w:cs="Times New Roman"/>
                <w:color w:val="auto"/>
              </w:rPr>
              <w:t>每低于基准价1%扣</w:t>
            </w:r>
            <w:r>
              <w:rPr>
                <w:rFonts w:hint="eastAsia" w:cs="Times New Roman"/>
                <w:color w:val="auto"/>
                <w:lang w:val="en-US" w:eastAsia="zh-CN"/>
              </w:rPr>
              <w:t>0.5</w:t>
            </w:r>
            <w:r>
              <w:rPr>
                <w:rFonts w:hint="eastAsia" w:ascii="Times New Roman" w:hAnsi="Times New Roman" w:eastAsia="宋体" w:cs="Times New Roman"/>
                <w:color w:val="auto"/>
              </w:rPr>
              <w:t>分，偏离不足1%的，按照插入法计算得分。</w:t>
            </w:r>
          </w:p>
        </w:tc>
      </w:tr>
      <w:tr w14:paraId="0A92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restart"/>
            <w:tcBorders>
              <w:top w:val="single" w:color="auto" w:sz="4" w:space="0"/>
              <w:left w:val="single" w:color="auto" w:sz="4" w:space="0"/>
              <w:right w:val="single" w:color="auto" w:sz="4" w:space="0"/>
            </w:tcBorders>
            <w:noWrap w:val="0"/>
            <w:vAlign w:val="center"/>
          </w:tcPr>
          <w:p w14:paraId="7AA5777B">
            <w:pPr>
              <w:jc w:val="center"/>
              <w:rPr>
                <w:rFonts w:hint="eastAsia"/>
                <w:color w:val="000000"/>
                <w:lang w:val="en-US" w:eastAsia="zh-CN"/>
              </w:rPr>
            </w:pPr>
          </w:p>
          <w:p w14:paraId="386A08C1">
            <w:pPr>
              <w:pStyle w:val="16"/>
              <w:rPr>
                <w:rFonts w:hint="eastAsia"/>
                <w:lang w:val="en-US" w:eastAsia="zh-CN"/>
              </w:rPr>
            </w:pPr>
          </w:p>
          <w:p w14:paraId="69787C81">
            <w:pPr>
              <w:jc w:val="center"/>
              <w:rPr>
                <w:rFonts w:hint="eastAsia"/>
                <w:color w:val="000000"/>
                <w:lang w:val="en-US" w:eastAsia="zh-CN"/>
              </w:rPr>
            </w:pPr>
            <w:r>
              <w:rPr>
                <w:rFonts w:hint="eastAsia"/>
                <w:color w:val="000000"/>
                <w:lang w:val="en-US" w:eastAsia="zh-CN"/>
              </w:rPr>
              <w:t>2</w:t>
            </w:r>
          </w:p>
          <w:p w14:paraId="079C069E">
            <w:pPr>
              <w:jc w:val="center"/>
              <w:rPr>
                <w:rFonts w:hint="eastAsia" w:eastAsia="宋体"/>
                <w:color w:val="000000"/>
                <w:lang w:eastAsia="zh-CN"/>
              </w:rPr>
            </w:pPr>
          </w:p>
          <w:p w14:paraId="7A4DC9BC">
            <w:pPr>
              <w:jc w:val="both"/>
              <w:rPr>
                <w:rFonts w:hint="default" w:ascii="Times New Roman" w:hAnsi="Times New Roman" w:eastAsia="宋体" w:cs="Times New Roman"/>
                <w:color w:val="000000"/>
                <w:kern w:val="2"/>
                <w:sz w:val="21"/>
                <w:szCs w:val="24"/>
                <w:lang w:val="en-US" w:eastAsia="zh-CN" w:bidi="ar-SA"/>
              </w:rPr>
            </w:pPr>
          </w:p>
        </w:tc>
        <w:tc>
          <w:tcPr>
            <w:tcW w:w="1729" w:type="dxa"/>
            <w:vMerge w:val="restart"/>
            <w:tcBorders>
              <w:top w:val="single" w:color="auto" w:sz="4" w:space="0"/>
              <w:left w:val="single" w:color="auto" w:sz="4" w:space="0"/>
              <w:right w:val="single" w:color="auto" w:sz="4" w:space="0"/>
            </w:tcBorders>
            <w:noWrap w:val="0"/>
            <w:vAlign w:val="center"/>
          </w:tcPr>
          <w:p w14:paraId="70041704">
            <w:pPr>
              <w:keepNext w:val="0"/>
              <w:keepLines w:val="0"/>
              <w:widowControl/>
              <w:suppressLineNumbers w:val="0"/>
              <w:jc w:val="center"/>
              <w:rPr>
                <w:rFonts w:hint="default" w:ascii="宋体" w:hAnsi="宋体"/>
                <w:color w:val="000000"/>
                <w:lang w:val="en-US" w:eastAsia="zh-CN"/>
              </w:rPr>
            </w:pPr>
            <w:r>
              <w:rPr>
                <w:rFonts w:hint="eastAsia" w:ascii="宋体" w:hAnsi="宋体"/>
                <w:color w:val="000000"/>
                <w:lang w:val="en-US" w:eastAsia="zh-CN"/>
              </w:rPr>
              <w:t>技术标</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0B35C41">
            <w:pPr>
              <w:keepNext w:val="0"/>
              <w:keepLines w:val="0"/>
              <w:widowControl/>
              <w:suppressLineNumbers w:val="0"/>
              <w:jc w:val="left"/>
              <w:rPr>
                <w:rFonts w:hint="eastAsia" w:ascii="宋体" w:hAnsi="宋体" w:cs="宋体"/>
                <w:color w:val="auto"/>
                <w:sz w:val="21"/>
                <w:szCs w:val="21"/>
              </w:rPr>
            </w:pPr>
            <w:r>
              <w:rPr>
                <w:rFonts w:hint="eastAsia" w:ascii="宋体" w:hAnsi="宋体"/>
                <w:color w:val="000000"/>
                <w:lang w:val="en-US" w:eastAsia="zh-CN"/>
              </w:rPr>
              <w:t>检测报告（5分）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9FCDABD">
            <w:pPr>
              <w:rPr>
                <w:rFonts w:hint="eastAsia" w:ascii="Times New Roman" w:hAnsi="Times New Roman" w:eastAsia="宋体" w:cs="Times New Roman"/>
                <w:color w:val="auto"/>
                <w:lang w:eastAsia="zh-CN"/>
              </w:rPr>
            </w:pPr>
            <w:r>
              <w:rPr>
                <w:rFonts w:hint="eastAsia" w:ascii="宋体" w:hAnsi="宋体"/>
                <w:color w:val="auto"/>
                <w:szCs w:val="21"/>
                <w:lang w:val="en-US" w:eastAsia="zh-CN"/>
              </w:rPr>
              <w:t>具有国家授权、许可产品检验检测机构出具的10kV电压等级及以上且单台容量最大4000kVA、最小2500kVA的光伏箱式变电站型式试验报告或检测报告。</w:t>
            </w:r>
          </w:p>
        </w:tc>
      </w:tr>
      <w:tr w14:paraId="5859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vMerge w:val="continue"/>
            <w:tcBorders>
              <w:left w:val="single" w:color="auto" w:sz="4" w:space="0"/>
              <w:right w:val="single" w:color="auto" w:sz="4" w:space="0"/>
            </w:tcBorders>
            <w:noWrap w:val="0"/>
            <w:vAlign w:val="center"/>
          </w:tcPr>
          <w:p w14:paraId="2ECD98DE">
            <w:pPr>
              <w:jc w:val="center"/>
              <w:rPr>
                <w:rFonts w:hint="eastAsia" w:eastAsia="宋体"/>
                <w:color w:val="000000"/>
                <w:lang w:eastAsia="zh-CN"/>
              </w:rPr>
            </w:pPr>
          </w:p>
        </w:tc>
        <w:tc>
          <w:tcPr>
            <w:tcW w:w="1729" w:type="dxa"/>
            <w:vMerge w:val="continue"/>
            <w:tcBorders>
              <w:left w:val="single" w:color="auto" w:sz="4" w:space="0"/>
              <w:right w:val="single" w:color="auto" w:sz="4" w:space="0"/>
            </w:tcBorders>
            <w:noWrap w:val="0"/>
            <w:vAlign w:val="center"/>
          </w:tcPr>
          <w:p w14:paraId="42B2892C">
            <w:pPr>
              <w:keepNext w:val="0"/>
              <w:keepLines w:val="0"/>
              <w:widowControl/>
              <w:suppressLineNumbers w:val="0"/>
              <w:jc w:val="left"/>
              <w:rPr>
                <w:rFonts w:hint="eastAsia" w:ascii="宋体" w:hAnsi="宋体"/>
                <w:color w:val="000000"/>
                <w:lang w:val="en-US" w:eastAsia="zh-CN"/>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864C8B">
            <w:pPr>
              <w:keepNext w:val="0"/>
              <w:keepLines w:val="0"/>
              <w:widowControl/>
              <w:suppressLineNumbers w:val="0"/>
              <w:jc w:val="left"/>
              <w:rPr>
                <w:rFonts w:hint="eastAsia" w:ascii="宋体" w:hAnsi="宋体" w:cs="宋体"/>
                <w:color w:val="auto"/>
                <w:sz w:val="21"/>
                <w:szCs w:val="21"/>
              </w:rPr>
            </w:pPr>
            <w:r>
              <w:rPr>
                <w:rFonts w:hint="eastAsia" w:ascii="宋体" w:hAnsi="宋体"/>
                <w:color w:val="000000"/>
                <w:lang w:val="en-US" w:eastAsia="zh-CN"/>
              </w:rPr>
              <w:t>组织管理及技术措施（14分）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6C35CF19">
            <w:pP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有针对本项目可行的项目现场规划组织管理及技术措施方案（评审主要内容为：针对本项目制定生产、供货、现场管理配合等相关方案）。</w:t>
            </w:r>
          </w:p>
          <w:p w14:paraId="12AFD051">
            <w:pPr>
              <w:rPr>
                <w:rFonts w:hint="eastAsia" w:ascii="Times New Roman" w:hAnsi="Times New Roman" w:eastAsia="宋体" w:cs="Times New Roman"/>
                <w:color w:val="000000"/>
              </w:rPr>
            </w:pPr>
            <w:r>
              <w:rPr>
                <w:rFonts w:hint="eastAsia" w:ascii="Times New Roman" w:hAnsi="Times New Roman" w:eastAsia="宋体" w:cs="Times New Roman"/>
                <w:color w:val="000000"/>
                <w:lang w:val="en-US" w:eastAsia="zh-CN"/>
              </w:rPr>
              <w:t>优秀的得</w:t>
            </w:r>
            <w:r>
              <w:rPr>
                <w:rFonts w:hint="eastAsia" w:cs="Times New Roman"/>
                <w:color w:val="000000"/>
                <w:lang w:val="en-US" w:eastAsia="zh-CN"/>
              </w:rPr>
              <w:t>11-14</w:t>
            </w:r>
            <w:r>
              <w:rPr>
                <w:rFonts w:hint="eastAsia" w:ascii="Times New Roman" w:hAnsi="Times New Roman" w:eastAsia="宋体" w:cs="Times New Roman"/>
                <w:color w:val="000000"/>
                <w:lang w:val="en-US" w:eastAsia="zh-CN"/>
              </w:rPr>
              <w:t>分，较好的得</w:t>
            </w:r>
            <w:r>
              <w:rPr>
                <w:rFonts w:hint="eastAsia" w:cs="Times New Roman"/>
                <w:color w:val="000000"/>
                <w:lang w:val="en-US" w:eastAsia="zh-CN"/>
              </w:rPr>
              <w:t>6-10</w:t>
            </w:r>
            <w:r>
              <w:rPr>
                <w:rFonts w:hint="eastAsia" w:ascii="Times New Roman" w:hAnsi="Times New Roman" w:eastAsia="宋体" w:cs="Times New Roman"/>
                <w:color w:val="000000"/>
                <w:lang w:val="en-US" w:eastAsia="zh-CN"/>
              </w:rPr>
              <w:t>分，普通的得</w:t>
            </w:r>
            <w:r>
              <w:rPr>
                <w:rFonts w:hint="eastAsia" w:cs="Times New Roman"/>
                <w:color w:val="000000"/>
                <w:lang w:val="en-US" w:eastAsia="zh-CN"/>
              </w:rPr>
              <w:t>3-5</w:t>
            </w:r>
            <w:r>
              <w:rPr>
                <w:rFonts w:hint="eastAsia" w:ascii="Times New Roman" w:hAnsi="Times New Roman" w:eastAsia="宋体" w:cs="Times New Roman"/>
                <w:color w:val="000000"/>
                <w:lang w:val="en-US" w:eastAsia="zh-CN"/>
              </w:rPr>
              <w:t>分，较差的得</w:t>
            </w:r>
            <w:r>
              <w:rPr>
                <w:rFonts w:hint="eastAsia" w:cs="Times New Roman"/>
                <w:color w:val="000000"/>
                <w:lang w:val="en-US" w:eastAsia="zh-CN"/>
              </w:rPr>
              <w:t>1-2</w:t>
            </w:r>
            <w:r>
              <w:rPr>
                <w:rFonts w:hint="eastAsia" w:ascii="Times New Roman" w:hAnsi="Times New Roman" w:eastAsia="宋体" w:cs="Times New Roman"/>
                <w:color w:val="000000"/>
                <w:lang w:val="en-US" w:eastAsia="zh-CN"/>
              </w:rPr>
              <w:t>分，未提供或编制内容出现严重错误的本项不得分。（满分</w:t>
            </w:r>
            <w:r>
              <w:rPr>
                <w:rFonts w:hint="eastAsia" w:cs="Times New Roman"/>
                <w:color w:val="000000"/>
                <w:lang w:val="en-US" w:eastAsia="zh-CN"/>
              </w:rPr>
              <w:t>14</w:t>
            </w:r>
            <w:r>
              <w:rPr>
                <w:rFonts w:hint="eastAsia" w:ascii="Times New Roman" w:hAnsi="Times New Roman" w:eastAsia="宋体" w:cs="Times New Roman"/>
                <w:color w:val="000000"/>
                <w:lang w:val="en-US" w:eastAsia="zh-CN"/>
              </w:rPr>
              <w:t xml:space="preserve">分） </w:t>
            </w:r>
          </w:p>
        </w:tc>
      </w:tr>
      <w:tr w14:paraId="483A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vMerge w:val="continue"/>
            <w:tcBorders>
              <w:left w:val="single" w:color="auto" w:sz="4" w:space="0"/>
              <w:bottom w:val="single" w:color="auto" w:sz="4" w:space="0"/>
              <w:right w:val="single" w:color="auto" w:sz="4" w:space="0"/>
            </w:tcBorders>
            <w:shd w:val="clear" w:color="auto" w:fill="auto"/>
            <w:noWrap w:val="0"/>
            <w:vAlign w:val="center"/>
          </w:tcPr>
          <w:p w14:paraId="1AE180C7">
            <w:pPr>
              <w:jc w:val="center"/>
              <w:rPr>
                <w:rFonts w:hint="default" w:ascii="Times New Roman" w:hAnsi="Times New Roman" w:eastAsia="宋体" w:cs="Times New Roman"/>
                <w:color w:val="000000"/>
                <w:kern w:val="2"/>
                <w:sz w:val="21"/>
                <w:szCs w:val="24"/>
                <w:lang w:val="en-US" w:eastAsia="zh-CN" w:bidi="ar-SA"/>
              </w:rPr>
            </w:pPr>
          </w:p>
        </w:tc>
        <w:tc>
          <w:tcPr>
            <w:tcW w:w="1729" w:type="dxa"/>
            <w:vMerge w:val="continue"/>
            <w:tcBorders>
              <w:left w:val="single" w:color="auto" w:sz="4" w:space="0"/>
              <w:bottom w:val="single" w:color="auto" w:sz="4" w:space="0"/>
              <w:right w:val="single" w:color="auto" w:sz="4" w:space="0"/>
            </w:tcBorders>
            <w:shd w:val="clear" w:color="auto" w:fill="auto"/>
            <w:noWrap w:val="0"/>
            <w:vAlign w:val="center"/>
          </w:tcPr>
          <w:p w14:paraId="0E7B9701">
            <w:pPr>
              <w:rPr>
                <w:rFonts w:hint="eastAsia" w:ascii="宋体" w:hAnsi="宋体" w:cs="宋体"/>
                <w:color w:val="auto"/>
                <w:sz w:val="21"/>
                <w:szCs w:val="21"/>
              </w:rPr>
            </w:pPr>
          </w:p>
        </w:tc>
        <w:tc>
          <w:tcPr>
            <w:tcW w:w="2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C8B0C">
            <w:pPr>
              <w:rPr>
                <w:rFonts w:hint="eastAsia" w:ascii="Times New Roman" w:hAnsi="Times New Roman" w:eastAsia="宋体" w:cs="Times New Roman"/>
                <w:color w:val="000000"/>
                <w:kern w:val="2"/>
                <w:sz w:val="21"/>
                <w:szCs w:val="24"/>
                <w:lang w:val="en-US" w:eastAsia="zh-CN" w:bidi="ar-SA"/>
              </w:rPr>
            </w:pPr>
            <w:r>
              <w:rPr>
                <w:rFonts w:hint="eastAsia" w:ascii="宋体" w:hAnsi="宋体" w:cs="宋体"/>
                <w:color w:val="auto"/>
                <w:sz w:val="21"/>
                <w:szCs w:val="21"/>
              </w:rPr>
              <w:t>售后服务网点及承诺（</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4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733EF">
            <w:pPr>
              <w:rPr>
                <w:rFonts w:hint="eastAsia" w:cs="Times New Roman"/>
                <w:color w:val="000000"/>
                <w:lang w:eastAsia="zh-CN"/>
              </w:rPr>
            </w:pPr>
            <w:r>
              <w:rPr>
                <w:rFonts w:hint="eastAsia" w:ascii="Times New Roman" w:hAnsi="Times New Roman" w:eastAsia="宋体" w:cs="Times New Roman"/>
                <w:color w:val="000000"/>
              </w:rPr>
              <w:t>售后服务机构设置及售后</w:t>
            </w:r>
            <w:r>
              <w:rPr>
                <w:rFonts w:hint="eastAsia" w:ascii="Times New Roman" w:hAnsi="Times New Roman" w:eastAsia="宋体" w:cs="Times New Roman"/>
                <w:color w:val="000000"/>
                <w:lang w:eastAsia="zh-CN"/>
              </w:rPr>
              <w:t>企业</w:t>
            </w:r>
            <w:r>
              <w:rPr>
                <w:rFonts w:hint="eastAsia" w:ascii="Times New Roman" w:hAnsi="Times New Roman" w:eastAsia="宋体" w:cs="Times New Roman"/>
                <w:color w:val="000000"/>
              </w:rPr>
              <w:t>员配置、售后服务承诺、保障措施等情况进行综合评</w:t>
            </w:r>
            <w:r>
              <w:rPr>
                <w:rFonts w:hint="eastAsia" w:ascii="Times New Roman" w:hAnsi="Times New Roman" w:eastAsia="宋体" w:cs="Times New Roman"/>
                <w:color w:val="000000"/>
                <w:lang w:eastAsia="zh-CN"/>
              </w:rPr>
              <w:t>定</w:t>
            </w:r>
            <w:r>
              <w:rPr>
                <w:rFonts w:hint="eastAsia" w:cs="Times New Roman"/>
                <w:color w:val="000000"/>
                <w:lang w:eastAsia="zh-CN"/>
              </w:rPr>
              <w:t>。</w:t>
            </w:r>
          </w:p>
          <w:p w14:paraId="7E16EAC7">
            <w:pP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优秀的得</w:t>
            </w:r>
            <w:r>
              <w:rPr>
                <w:rFonts w:hint="eastAsia" w:cs="Times New Roman"/>
                <w:color w:val="000000"/>
                <w:lang w:val="en-US" w:eastAsia="zh-CN"/>
              </w:rPr>
              <w:t>5</w:t>
            </w:r>
            <w:r>
              <w:rPr>
                <w:rFonts w:hint="eastAsia" w:ascii="Times New Roman" w:hAnsi="Times New Roman" w:eastAsia="宋体" w:cs="Times New Roman"/>
                <w:color w:val="000000"/>
                <w:lang w:val="en-US" w:eastAsia="zh-CN"/>
              </w:rPr>
              <w:t>分，较好的得</w:t>
            </w:r>
            <w:r>
              <w:rPr>
                <w:rFonts w:hint="eastAsia" w:cs="Times New Roman"/>
                <w:color w:val="000000"/>
                <w:lang w:val="en-US" w:eastAsia="zh-CN"/>
              </w:rPr>
              <w:t>3-4</w:t>
            </w:r>
            <w:r>
              <w:rPr>
                <w:rFonts w:hint="eastAsia" w:ascii="Times New Roman" w:hAnsi="Times New Roman" w:eastAsia="宋体" w:cs="Times New Roman"/>
                <w:color w:val="000000"/>
                <w:lang w:val="en-US" w:eastAsia="zh-CN"/>
              </w:rPr>
              <w:t>分，普通的得</w:t>
            </w:r>
            <w:r>
              <w:rPr>
                <w:rFonts w:hint="eastAsia" w:cs="Times New Roman"/>
                <w:color w:val="000000"/>
                <w:lang w:val="en-US" w:eastAsia="zh-CN"/>
              </w:rPr>
              <w:t>1-2</w:t>
            </w:r>
            <w:r>
              <w:rPr>
                <w:rFonts w:hint="eastAsia" w:ascii="Times New Roman" w:hAnsi="Times New Roman" w:eastAsia="宋体" w:cs="Times New Roman"/>
                <w:color w:val="000000"/>
                <w:lang w:val="en-US" w:eastAsia="zh-CN"/>
              </w:rPr>
              <w:t>分</w:t>
            </w:r>
            <w:r>
              <w:rPr>
                <w:rFonts w:hint="eastAsia" w:cs="Times New Roman"/>
                <w:color w:val="000000"/>
                <w:lang w:val="en-US" w:eastAsia="zh-CN"/>
              </w:rPr>
              <w:t>,</w:t>
            </w:r>
            <w:r>
              <w:rPr>
                <w:rFonts w:hint="eastAsia" w:ascii="Times New Roman" w:hAnsi="Times New Roman" w:eastAsia="宋体" w:cs="Times New Roman"/>
                <w:color w:val="000000"/>
                <w:lang w:val="en-US" w:eastAsia="zh-CN"/>
              </w:rPr>
              <w:t>，未提供或编制内容出现严重错误的本项不得分。（满分</w:t>
            </w:r>
            <w:r>
              <w:rPr>
                <w:rFonts w:hint="eastAsia" w:cs="Times New Roman"/>
                <w:color w:val="000000"/>
                <w:lang w:val="en-US" w:eastAsia="zh-CN"/>
              </w:rPr>
              <w:t>5</w:t>
            </w:r>
            <w:r>
              <w:rPr>
                <w:rFonts w:hint="eastAsia" w:ascii="Times New Roman" w:hAnsi="Times New Roman" w:eastAsia="宋体" w:cs="Times New Roman"/>
                <w:color w:val="000000"/>
                <w:lang w:val="en-US" w:eastAsia="zh-CN"/>
              </w:rPr>
              <w:t>分）</w:t>
            </w:r>
          </w:p>
        </w:tc>
      </w:tr>
      <w:tr w14:paraId="2075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3F0B8">
            <w:pPr>
              <w:jc w:val="center"/>
              <w:rPr>
                <w:rFonts w:hint="eastAsia" w:eastAsia="宋体"/>
                <w:color w:val="000000"/>
                <w:lang w:eastAsia="zh-CN"/>
              </w:rPr>
            </w:pPr>
            <w:r>
              <w:rPr>
                <w:rFonts w:hint="eastAsia"/>
                <w:color w:val="000000"/>
                <w:lang w:val="en-US" w:eastAsia="zh-CN"/>
              </w:rPr>
              <w:t>3</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2FAE4">
            <w:pPr>
              <w:keepNext w:val="0"/>
              <w:keepLines w:val="0"/>
              <w:pageBreakBefore w:val="0"/>
              <w:widowControl w:val="0"/>
              <w:kinsoku/>
              <w:wordWrap/>
              <w:topLinePunct w:val="0"/>
              <w:autoSpaceDN/>
              <w:bidi w:val="0"/>
              <w:adjustRightInd w:val="0"/>
              <w:snapToGrid/>
              <w:spacing w:line="360" w:lineRule="exact"/>
              <w:ind w:firstLine="0" w:firstLine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商务标</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A699C">
            <w:pPr>
              <w:keepNext w:val="0"/>
              <w:keepLines w:val="0"/>
              <w:pageBreakBefore w:val="0"/>
              <w:widowControl w:val="0"/>
              <w:kinsoku/>
              <w:wordWrap/>
              <w:topLinePunct w:val="0"/>
              <w:autoSpaceDN/>
              <w:bidi w:val="0"/>
              <w:adjustRightInd w:val="0"/>
              <w:snapToGrid/>
              <w:spacing w:line="360" w:lineRule="exact"/>
              <w:ind w:firstLine="0" w:firstLineChars="0"/>
              <w:jc w:val="left"/>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4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4AB90">
            <w:pPr>
              <w:rPr>
                <w:rFonts w:hint="eastAsia" w:ascii="Times New Roman" w:hAnsi="Times New Roman" w:eastAsia="宋体" w:cs="Times New Roman"/>
                <w:color w:val="000000"/>
              </w:rPr>
            </w:pPr>
            <w:r>
              <w:rPr>
                <w:rFonts w:hint="eastAsia" w:ascii="Times New Roman" w:hAnsi="Times New Roman" w:eastAsia="宋体" w:cs="Times New Roman"/>
                <w:color w:val="000000"/>
              </w:rPr>
              <w:t>投标</w:t>
            </w:r>
            <w:r>
              <w:rPr>
                <w:rFonts w:hint="eastAsia" w:ascii="Times New Roman" w:hAnsi="Times New Roman" w:eastAsia="宋体" w:cs="Times New Roman"/>
                <w:color w:val="000000"/>
                <w:lang w:val="en-US" w:eastAsia="zh-CN"/>
              </w:rPr>
              <w:t>单位</w:t>
            </w:r>
            <w:r>
              <w:rPr>
                <w:rFonts w:hint="eastAsia" w:ascii="Times New Roman" w:hAnsi="Times New Roman" w:eastAsia="宋体" w:cs="Times New Roman"/>
                <w:color w:val="000000"/>
              </w:rPr>
              <w:t>自20</w:t>
            </w:r>
            <w:r>
              <w:rPr>
                <w:rFonts w:hint="eastAsia" w:cs="Times New Roman"/>
                <w:color w:val="000000"/>
                <w:lang w:val="en-US" w:eastAsia="zh-CN"/>
              </w:rPr>
              <w:t>21</w:t>
            </w:r>
            <w:r>
              <w:rPr>
                <w:rFonts w:hint="eastAsia" w:ascii="Times New Roman" w:hAnsi="Times New Roman" w:eastAsia="宋体" w:cs="Times New Roman"/>
                <w:color w:val="000000"/>
              </w:rPr>
              <w:t>年</w:t>
            </w:r>
            <w:r>
              <w:rPr>
                <w:rFonts w:hint="eastAsia" w:ascii="Times New Roman" w:hAnsi="Times New Roman" w:eastAsia="宋体" w:cs="Times New Roman"/>
                <w:color w:val="000000"/>
                <w:lang w:val="en-US" w:eastAsia="zh-CN"/>
              </w:rPr>
              <w:t>11</w:t>
            </w:r>
            <w:r>
              <w:rPr>
                <w:rFonts w:hint="eastAsia" w:ascii="Times New Roman" w:hAnsi="Times New Roman" w:eastAsia="宋体" w:cs="Times New Roman"/>
                <w:color w:val="000000"/>
              </w:rPr>
              <w:t>月</w:t>
            </w:r>
            <w:r>
              <w:rPr>
                <w:rFonts w:hint="eastAsia" w:ascii="Times New Roman" w:hAnsi="Times New Roman" w:eastAsia="宋体" w:cs="Times New Roman"/>
                <w:color w:val="000000"/>
                <w:lang w:val="en-US" w:eastAsia="zh-CN"/>
              </w:rPr>
              <w:t>0</w:t>
            </w:r>
            <w:r>
              <w:rPr>
                <w:rFonts w:hint="eastAsia" w:ascii="Times New Roman" w:hAnsi="Times New Roman" w:eastAsia="宋体" w:cs="Times New Roman"/>
                <w:color w:val="000000"/>
              </w:rPr>
              <w:t>1日以来</w:t>
            </w:r>
            <w:r>
              <w:rPr>
                <w:rFonts w:hint="eastAsia" w:ascii="Times New Roman" w:hAnsi="Times New Roman" w:eastAsia="宋体" w:cs="Times New Roman"/>
                <w:color w:val="000000"/>
                <w:lang w:val="en-US" w:eastAsia="zh-CN"/>
              </w:rPr>
              <w:t>采购业绩（</w:t>
            </w:r>
            <w:r>
              <w:rPr>
                <w:rFonts w:hint="eastAsia" w:cs="Times New Roman"/>
                <w:color w:val="000000"/>
                <w:lang w:val="en-US" w:eastAsia="zh-CN"/>
              </w:rPr>
              <w:t>箱式变压器（干变）</w:t>
            </w:r>
            <w:r>
              <w:rPr>
                <w:rFonts w:hint="eastAsia" w:ascii="Times New Roman" w:hAnsi="Times New Roman" w:eastAsia="宋体" w:cs="Times New Roman"/>
                <w:color w:val="000000"/>
                <w:lang w:val="en-US" w:eastAsia="zh-CN"/>
              </w:rPr>
              <w:t>）且单项合同金额达到</w:t>
            </w:r>
            <w:r>
              <w:rPr>
                <w:rFonts w:hint="eastAsia" w:cs="Times New Roman"/>
                <w:color w:val="000000"/>
                <w:lang w:val="en-US" w:eastAsia="zh-CN"/>
              </w:rPr>
              <w:t>1</w:t>
            </w:r>
            <w:r>
              <w:rPr>
                <w:rFonts w:hint="eastAsia" w:ascii="Times New Roman" w:hAnsi="Times New Roman" w:eastAsia="宋体" w:cs="Times New Roman"/>
                <w:color w:val="000000"/>
                <w:lang w:val="en-US" w:eastAsia="zh-CN"/>
              </w:rPr>
              <w:t>00万元及以上的，每提供一项业绩得</w:t>
            </w:r>
            <w:r>
              <w:rPr>
                <w:rFonts w:hint="eastAsia" w:ascii="Times New Roman" w:hAnsi="Times New Roman" w:cs="Times New Roman"/>
                <w:color w:val="000000"/>
                <w:lang w:val="en-US" w:eastAsia="zh-CN"/>
              </w:rPr>
              <w:t>2</w:t>
            </w:r>
            <w:r>
              <w:rPr>
                <w:rFonts w:hint="eastAsia" w:ascii="Times New Roman" w:hAnsi="Times New Roman" w:eastAsia="宋体" w:cs="Times New Roman"/>
                <w:color w:val="000000"/>
                <w:lang w:val="en-US" w:eastAsia="zh-CN"/>
              </w:rPr>
              <w:t>分，最高</w:t>
            </w:r>
            <w:r>
              <w:rPr>
                <w:rFonts w:hint="eastAsia" w:ascii="Times New Roman" w:hAnsi="Times New Roman" w:cs="Times New Roman"/>
                <w:color w:val="000000"/>
                <w:lang w:val="en-US" w:eastAsia="zh-CN"/>
              </w:rPr>
              <w:t>6</w:t>
            </w:r>
            <w:r>
              <w:rPr>
                <w:rFonts w:hint="eastAsia" w:ascii="Times New Roman" w:hAnsi="Times New Roman" w:eastAsia="宋体" w:cs="Times New Roman"/>
                <w:color w:val="000000"/>
                <w:lang w:val="en-US" w:eastAsia="zh-CN"/>
              </w:rPr>
              <w:t>分（</w:t>
            </w:r>
            <w:r>
              <w:rPr>
                <w:rFonts w:hint="eastAsia" w:ascii="Times New Roman" w:hAnsi="Times New Roman" w:eastAsia="宋体" w:cs="Times New Roman"/>
                <w:color w:val="000000"/>
              </w:rPr>
              <w:t>业绩认定时间：以合同签订时间为准</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w:t>
            </w:r>
          </w:p>
          <w:p w14:paraId="6D368D78">
            <w:pPr>
              <w:rPr>
                <w:rFonts w:hint="eastAsia" w:ascii="宋体" w:hAnsi="宋体"/>
                <w:color w:val="FF0000"/>
                <w:szCs w:val="21"/>
                <w:lang w:val="en-US" w:eastAsia="zh-CN"/>
              </w:rPr>
            </w:pPr>
            <w:r>
              <w:rPr>
                <w:rFonts w:hint="eastAsia" w:ascii="Times New Roman" w:hAnsi="Times New Roman" w:eastAsia="宋体" w:cs="Times New Roman"/>
                <w:color w:val="000000"/>
                <w:lang w:eastAsia="zh-CN"/>
              </w:rPr>
              <w:t>注：投标文件中提供</w:t>
            </w:r>
            <w:r>
              <w:rPr>
                <w:rFonts w:hint="eastAsia" w:ascii="Times New Roman" w:hAnsi="Times New Roman" w:eastAsia="宋体" w:cs="Times New Roman"/>
                <w:color w:val="000000"/>
              </w:rPr>
              <w:t>合同</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发票，</w:t>
            </w:r>
            <w:r>
              <w:rPr>
                <w:rFonts w:hint="eastAsia" w:ascii="Times New Roman" w:hAnsi="Times New Roman" w:eastAsia="宋体" w:cs="Times New Roman"/>
                <w:color w:val="000000"/>
              </w:rPr>
              <w:t>复印件加盖</w:t>
            </w:r>
            <w:r>
              <w:rPr>
                <w:rFonts w:hint="eastAsia" w:ascii="Times New Roman" w:hAnsi="Times New Roman" w:eastAsia="宋体" w:cs="Times New Roman"/>
                <w:color w:val="000000"/>
                <w:lang w:eastAsia="zh-CN"/>
              </w:rPr>
              <w:t>投标</w:t>
            </w:r>
            <w:r>
              <w:rPr>
                <w:rFonts w:hint="eastAsia" w:ascii="Times New Roman" w:hAnsi="Times New Roman" w:eastAsia="宋体" w:cs="Times New Roman"/>
                <w:color w:val="000000"/>
              </w:rPr>
              <w:t>单位公章，否则不得分</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中标后</w:t>
            </w:r>
            <w:r>
              <w:rPr>
                <w:rFonts w:hint="eastAsia" w:ascii="Times New Roman" w:hAnsi="Times New Roman" w:eastAsia="宋体" w:cs="Times New Roman"/>
                <w:color w:val="000000"/>
              </w:rPr>
              <w:t>原件备查</w:t>
            </w:r>
            <w:r>
              <w:rPr>
                <w:rFonts w:hint="eastAsia" w:ascii="Times New Roman" w:hAnsi="Times New Roman" w:eastAsia="宋体" w:cs="Times New Roman"/>
                <w:color w:val="000000"/>
                <w:lang w:eastAsia="zh-CN"/>
              </w:rPr>
              <w:t>。</w:t>
            </w:r>
          </w:p>
        </w:tc>
      </w:tr>
    </w:tbl>
    <w:p w14:paraId="462E8149">
      <w:pPr>
        <w:autoSpaceDE w:val="0"/>
        <w:autoSpaceDN w:val="0"/>
        <w:adjustRightInd w:val="0"/>
        <w:snapToGrid w:val="0"/>
        <w:spacing w:line="480" w:lineRule="exact"/>
        <w:ind w:firstLine="422" w:firstLineChars="200"/>
        <w:rPr>
          <w:rFonts w:hint="eastAsia" w:ascii="宋体" w:hAnsi="宋体"/>
          <w:b/>
          <w:color w:val="000000"/>
          <w:szCs w:val="21"/>
          <w:lang w:val="en-US" w:eastAsia="zh-CN"/>
        </w:rPr>
      </w:pPr>
    </w:p>
    <w:p w14:paraId="35142A05">
      <w:pPr>
        <w:autoSpaceDE w:val="0"/>
        <w:autoSpaceDN w:val="0"/>
        <w:adjustRightInd w:val="0"/>
        <w:snapToGrid w:val="0"/>
        <w:spacing w:line="480" w:lineRule="exact"/>
        <w:ind w:firstLine="422" w:firstLineChars="200"/>
        <w:rPr>
          <w:rFonts w:hint="eastAsia" w:ascii="宋体" w:hAnsi="宋体"/>
          <w:b/>
          <w:color w:val="000000"/>
          <w:szCs w:val="21"/>
          <w:lang w:val="en-US" w:eastAsia="zh-CN"/>
        </w:rPr>
      </w:pPr>
    </w:p>
    <w:p w14:paraId="2593EF8C">
      <w:pPr>
        <w:autoSpaceDE w:val="0"/>
        <w:autoSpaceDN w:val="0"/>
        <w:adjustRightInd w:val="0"/>
        <w:snapToGrid w:val="0"/>
        <w:spacing w:line="480" w:lineRule="exact"/>
        <w:ind w:firstLine="422" w:firstLineChars="200"/>
        <w:rPr>
          <w:rFonts w:hint="eastAsia"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 xml:space="preserve">定标 </w:t>
      </w:r>
    </w:p>
    <w:p w14:paraId="297F58AE">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评标委员会完成评标后，应当向招标人提出书面评标报告，阐明评标委员会对各投标文件的评审和比较意见，并按照招标文件中规定的评标方法，推荐3名有排序的合格中标候选人。 </w:t>
      </w:r>
    </w:p>
    <w:p w14:paraId="783984FB">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8.1</w:t>
      </w:r>
      <w:r>
        <w:rPr>
          <w:rFonts w:hint="eastAsia" w:ascii="宋体" w:hAnsi="宋体" w:cs="宋体"/>
          <w:color w:val="000000"/>
          <w:sz w:val="21"/>
          <w:szCs w:val="21"/>
          <w:shd w:val="clear" w:color="auto" w:fill="FFFFFF"/>
        </w:rPr>
        <w:t xml:space="preserve">排序原则： </w:t>
      </w:r>
    </w:p>
    <w:p w14:paraId="126458BC">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8.2</w:t>
      </w:r>
      <w:r>
        <w:rPr>
          <w:rFonts w:hint="eastAsia" w:ascii="宋体" w:hAnsi="宋体" w:cs="宋体"/>
          <w:color w:val="000000"/>
          <w:sz w:val="21"/>
          <w:szCs w:val="21"/>
          <w:shd w:val="clear" w:color="auto" w:fill="FFFFFF"/>
        </w:rPr>
        <w:t xml:space="preserve">综合评分法： </w:t>
      </w:r>
    </w:p>
    <w:p w14:paraId="5BF0E8E7">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（1）按评分分数高低从高到低进行排序； </w:t>
      </w:r>
    </w:p>
    <w:p w14:paraId="2233C3AB">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（2）当评分分数相同时，由评标委员会决定； </w:t>
      </w:r>
    </w:p>
    <w:p w14:paraId="28CF8972">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8.3</w:t>
      </w:r>
      <w:r>
        <w:rPr>
          <w:rFonts w:hint="eastAsia" w:ascii="宋体" w:hAnsi="宋体" w:cs="宋体"/>
          <w:color w:val="000000"/>
          <w:sz w:val="21"/>
          <w:szCs w:val="21"/>
          <w:shd w:val="clear" w:color="auto" w:fill="FFFFFF"/>
        </w:rPr>
        <w:t>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14:paraId="2403B81D">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lang w:val="en-US" w:eastAsia="zh-CN"/>
        </w:rPr>
        <w:t>八</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07969EC7">
      <w:pPr>
        <w:autoSpaceDE w:val="0"/>
        <w:autoSpaceDN w:val="0"/>
        <w:adjustRightInd w:val="0"/>
        <w:snapToGrid w:val="0"/>
        <w:spacing w:line="480" w:lineRule="exact"/>
        <w:ind w:firstLine="561"/>
        <w:rPr>
          <w:rFonts w:hint="eastAsia" w:ascii="宋体" w:hAnsi="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FF0000"/>
          <w:szCs w:val="21"/>
          <w:lang w:val="en-US" w:eastAsia="zh-CN"/>
        </w:rPr>
        <w:t>合同签订甲方收到银行保证函后2日内付定金(订货总价30％，需开具银行预付款保函），</w:t>
      </w:r>
    </w:p>
    <w:p w14:paraId="305CF3C2">
      <w:pPr>
        <w:autoSpaceDE w:val="0"/>
        <w:autoSpaceDN w:val="0"/>
        <w:adjustRightInd w:val="0"/>
        <w:snapToGrid w:val="0"/>
        <w:spacing w:line="480" w:lineRule="exact"/>
        <w:rPr>
          <w:rFonts w:hint="eastAsia" w:ascii="宋体" w:hAnsi="宋体" w:eastAsia="宋体"/>
          <w:color w:val="FF0000"/>
          <w:szCs w:val="21"/>
          <w:lang w:val="en-US" w:eastAsia="zh-CN"/>
        </w:rPr>
      </w:pPr>
      <w:r>
        <w:rPr>
          <w:rFonts w:hint="eastAsia" w:ascii="宋体" w:hAnsi="宋体"/>
          <w:color w:val="FF0000"/>
          <w:szCs w:val="21"/>
          <w:lang w:val="en-US" w:eastAsia="zh-CN"/>
        </w:rPr>
        <w:t>供货前乙方须提供将该批设备的正式发票、清单、质量检验合格证明、检测报告，甲方收到正式发票、清单、质量检验合格证明、检测报告后付至订货价的97%，乙方收款后按规定时间供货至交货地点，两年质保期满后，付清尾款（无息）。</w:t>
      </w:r>
    </w:p>
    <w:p w14:paraId="382B693A">
      <w:pPr>
        <w:autoSpaceDE w:val="0"/>
        <w:autoSpaceDN w:val="0"/>
        <w:adjustRightInd w:val="0"/>
        <w:snapToGrid w:val="0"/>
        <w:spacing w:line="480" w:lineRule="exact"/>
        <w:ind w:firstLine="630" w:firstLineChars="300"/>
        <w:rPr>
          <w:rFonts w:ascii="宋体" w:hAnsi="宋体"/>
          <w:color w:val="000000"/>
          <w:szCs w:val="21"/>
        </w:rPr>
      </w:pPr>
      <w:r>
        <w:rPr>
          <w:rFonts w:hint="eastAsia" w:ascii="宋体" w:hAnsi="宋体"/>
          <w:color w:val="000000"/>
          <w:szCs w:val="21"/>
        </w:rPr>
        <w:t>⑧违约责任。</w:t>
      </w:r>
    </w:p>
    <w:p w14:paraId="73B31579">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7FEC98F8">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3D0B6AA">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14:paraId="13C08CAD">
      <w:pPr>
        <w:spacing w:line="720" w:lineRule="exact"/>
        <w:jc w:val="center"/>
        <w:rPr>
          <w:rFonts w:hint="eastAsia" w:ascii="楷体_GB2312" w:eastAsia="楷体_GB2312"/>
          <w:b/>
          <w:color w:val="000000"/>
          <w:sz w:val="30"/>
          <w:lang w:val="en-US" w:eastAsia="zh-CN"/>
        </w:rPr>
      </w:pPr>
    </w:p>
    <w:p w14:paraId="2D859200">
      <w:pPr>
        <w:spacing w:line="720" w:lineRule="exact"/>
        <w:jc w:val="center"/>
        <w:rPr>
          <w:rFonts w:hint="eastAsia" w:ascii="楷体_GB2312" w:eastAsia="楷体_GB2312"/>
          <w:b/>
          <w:color w:val="000000"/>
          <w:sz w:val="30"/>
          <w:lang w:val="en-US" w:eastAsia="zh-CN"/>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lang w:val="en-US" w:eastAsia="zh-CN"/>
        </w:rPr>
        <w:t>1</w:t>
      </w: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FF0000"/>
          <w:sz w:val="24"/>
          <w:u w:val="single"/>
          <w:lang w:val="en-US" w:eastAsia="zh-CN"/>
        </w:rPr>
        <w:t>元</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8"/>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6"/>
        <w:rPr>
          <w:rFonts w:hint="eastAsia" w:ascii="宋体" w:hAnsi="宋体"/>
          <w:color w:val="000000" w:themeColor="text1"/>
          <w:sz w:val="24"/>
          <w14:textFill>
            <w14:solidFill>
              <w14:schemeClr w14:val="tx1"/>
            </w14:solidFill>
          </w14:textFill>
        </w:rPr>
      </w:pPr>
    </w:p>
    <w:p w14:paraId="4C5B4239">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38BAFB2B">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21"/>
        <w:gridCol w:w="737"/>
        <w:gridCol w:w="1266"/>
        <w:gridCol w:w="2130"/>
        <w:gridCol w:w="1531"/>
        <w:gridCol w:w="1604"/>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7"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8"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rPr>
              <w:t>）</w:t>
            </w:r>
          </w:p>
        </w:tc>
        <w:tc>
          <w:tcPr>
            <w:tcW w:w="820"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7"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8"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7FCA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7" w:type="pct"/>
            <w:tcBorders>
              <w:top w:val="single" w:color="auto" w:sz="4" w:space="0"/>
              <w:left w:val="single" w:color="auto" w:sz="4" w:space="0"/>
              <w:bottom w:val="single" w:color="auto" w:sz="4" w:space="0"/>
              <w:right w:val="single" w:color="auto" w:sz="4" w:space="0"/>
            </w:tcBorders>
            <w:vAlign w:val="center"/>
          </w:tcPr>
          <w:p w14:paraId="7A37DAD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0009BC3A">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56DCEF8">
            <w:pPr>
              <w:adjustRightInd w:val="0"/>
              <w:snapToGrid w:val="0"/>
              <w:jc w:val="center"/>
              <w:rPr>
                <w:rFonts w:hint="eastAsia" w:ascii="方正仿宋_GBK" w:hAnsi="方正仿宋_GBK" w:eastAsia="方正仿宋_GBK" w:cs="方正仿宋_GBK"/>
                <w:bCs/>
                <w:color w:val="000000"/>
                <w:sz w:val="24"/>
              </w:rPr>
            </w:pPr>
          </w:p>
        </w:tc>
        <w:tc>
          <w:tcPr>
            <w:tcW w:w="678" w:type="pct"/>
            <w:tcBorders>
              <w:top w:val="single" w:color="auto" w:sz="4" w:space="0"/>
              <w:left w:val="single" w:color="auto" w:sz="4" w:space="0"/>
              <w:bottom w:val="single" w:color="auto" w:sz="4" w:space="0"/>
              <w:right w:val="single" w:color="auto" w:sz="4" w:space="0"/>
            </w:tcBorders>
            <w:vAlign w:val="center"/>
          </w:tcPr>
          <w:p w14:paraId="3089A1C7">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7067AFC4">
            <w:pPr>
              <w:adjustRightInd w:val="0"/>
              <w:snapToGrid w:val="0"/>
              <w:jc w:val="center"/>
              <w:rPr>
                <w:rFonts w:hint="eastAsia" w:ascii="方正仿宋_GBK" w:hAnsi="方正仿宋_GBK" w:eastAsia="方正仿宋_GBK" w:cs="方正仿宋_GBK"/>
                <w:bCs/>
                <w:color w:val="000000"/>
                <w:sz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4D62917C">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tcBorders>
            <w:vAlign w:val="center"/>
          </w:tcPr>
          <w:p w14:paraId="2C987049">
            <w:pPr>
              <w:keepNext w:val="0"/>
              <w:keepLines w:val="0"/>
              <w:widowControl/>
              <w:suppressLineNumbers w:val="0"/>
              <w:jc w:val="center"/>
              <w:textAlignment w:val="center"/>
              <w:rPr>
                <w:rFonts w:hint="eastAsia" w:ascii="仿宋" w:hAnsi="仿宋" w:eastAsia="仿宋" w:cs="仿宋"/>
                <w:bCs/>
                <w:color w:val="000000"/>
                <w:sz w:val="21"/>
                <w:szCs w:val="21"/>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w:t>
      </w:r>
      <w:r>
        <w:rPr>
          <w:rFonts w:hint="eastAsia" w:ascii="方正仿宋_GBK" w:hAnsi="方正仿宋_GBK" w:eastAsia="方正仿宋_GBK" w:cs="方正仿宋_GBK"/>
          <w:bCs/>
          <w:color w:val="000000"/>
          <w:sz w:val="24"/>
        </w:rPr>
        <w:t>行结算。</w:t>
      </w:r>
    </w:p>
    <w:p w14:paraId="4CB4CAE8">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货物计量方法双方约定为以</w:t>
      </w:r>
      <w:r>
        <w:rPr>
          <w:rFonts w:hint="eastAsia" w:ascii="方正仿宋_GBK" w:hAnsi="方正仿宋_GBK" w:eastAsia="方正仿宋_GBK" w:cs="方正仿宋_GBK"/>
          <w:bCs/>
          <w:color w:val="000000"/>
          <w:sz w:val="24"/>
          <w:lang w:val="en-US" w:eastAsia="zh-CN"/>
        </w:rPr>
        <w:t xml:space="preserve"> </w:t>
      </w:r>
      <w:r>
        <w:rPr>
          <w:rFonts w:hint="eastAsia" w:ascii="方正仿宋_GBK" w:hAnsi="方正仿宋_GBK" w:eastAsia="方正仿宋_GBK" w:cs="方正仿宋_GBK"/>
          <w:bCs/>
          <w:color w:val="000000"/>
          <w:sz w:val="24"/>
          <w:u w:val="single"/>
          <w:lang w:val="en-US" w:eastAsia="zh-CN"/>
        </w:rPr>
        <w:t xml:space="preserve">          </w:t>
      </w:r>
      <w:r>
        <w:rPr>
          <w:rFonts w:hint="eastAsia" w:ascii="方正仿宋_GBK" w:hAnsi="方正仿宋_GBK" w:eastAsia="方正仿宋_GBK" w:cs="方正仿宋_GBK"/>
          <w:bCs/>
          <w:color w:val="000000"/>
          <w:sz w:val="24"/>
        </w:rPr>
        <w:t xml:space="preserve"> 计算（参考：履行地过磅、量方、理论计算）。</w:t>
      </w:r>
    </w:p>
    <w:p w14:paraId="434D7240">
      <w:pPr>
        <w:spacing w:line="640" w:lineRule="exact"/>
        <w:ind w:firstLine="480" w:firstLineChars="200"/>
        <w:rPr>
          <w:rFonts w:hint="eastAsia" w:ascii="方正仿宋_GBK" w:hAnsi="方正仿宋_GBK" w:eastAsia="方正仿宋_GBK" w:cs="方正仿宋_GBK"/>
          <w:bCs/>
          <w:color w:val="FF0000"/>
          <w:sz w:val="24"/>
          <w:highlight w:val="none"/>
          <w:u w:val="single"/>
          <w:lang w:val="en-US" w:eastAsia="zh-CN"/>
        </w:rPr>
      </w:pPr>
      <w:r>
        <w:rPr>
          <w:rFonts w:hint="eastAsia" w:ascii="方正仿宋_GBK" w:hAnsi="方正仿宋_GBK" w:eastAsia="方正仿宋_GBK" w:cs="方正仿宋_GBK"/>
          <w:bCs/>
          <w:color w:val="000000"/>
          <w:sz w:val="24"/>
          <w:lang w:val="en-US" w:eastAsia="zh-CN"/>
        </w:rPr>
        <w:t>（2）</w:t>
      </w:r>
      <w:r>
        <w:rPr>
          <w:rFonts w:hint="eastAsia" w:ascii="方正仿宋_GBK" w:hAnsi="方正仿宋_GBK" w:eastAsia="方正仿宋_GBK" w:cs="方正仿宋_GBK"/>
          <w:bCs/>
          <w:color w:val="000000"/>
          <w:sz w:val="24"/>
        </w:rPr>
        <w:t>付款方式：</w:t>
      </w:r>
      <w:r>
        <w:rPr>
          <w:rFonts w:hint="eastAsia" w:ascii="方正仿宋_GBK" w:hAnsi="方正仿宋_GBK" w:eastAsia="方正仿宋_GBK" w:cs="方正仿宋_GBK"/>
          <w:bCs/>
          <w:color w:val="FF0000"/>
          <w:sz w:val="24"/>
          <w:highlight w:val="none"/>
          <w:u w:val="single"/>
          <w:lang w:val="en-US" w:eastAsia="zh-CN"/>
        </w:rPr>
        <w:t>合同签订甲方收到银行保证函后2日内付定金(订货总价30％，需开具银行预付款保函），供货前乙方须提供将该批设备的正式发票、清单、质量检验合格证明、检测报告，甲方收到正式发票、清单、质量检验合格证明、检测报告后付至订货价的97%，乙方收款后按规定时间供货至交货地点，两年质保期满后，付清尾款（无息）。</w:t>
      </w:r>
    </w:p>
    <w:p w14:paraId="61184A01">
      <w:pPr>
        <w:pStyle w:val="8"/>
        <w:numPr>
          <w:ilvl w:val="0"/>
          <w:numId w:val="0"/>
        </w:num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napToGrid w:val="0"/>
          <w:kern w:val="21"/>
          <w:position w:val="2"/>
          <w:sz w:val="24"/>
          <w:szCs w:val="24"/>
          <w:highlight w:val="none"/>
          <w:lang w:val="en-US" w:eastAsia="zh-CN" w:bidi="ar-SA"/>
        </w:rPr>
        <w:t>（3）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7D43C8C2">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4</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111B69C9">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接收地址：</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2"/>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2"/>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2"/>
        </w:numPr>
        <w:spacing w:line="640" w:lineRule="exact"/>
        <w:ind w:left="0" w:firstLine="48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3D5B6BDD">
      <w:pPr>
        <w:spacing w:line="360" w:lineRule="auto"/>
        <w:ind w:firstLine="643" w:firstLineChars="200"/>
        <w:jc w:val="center"/>
        <w:rPr>
          <w:rFonts w:hint="eastAsia" w:ascii="宋体" w:hAnsi="宋体" w:cs="宋体"/>
          <w:b/>
          <w:bCs/>
          <w:sz w:val="32"/>
          <w:szCs w:val="32"/>
        </w:rPr>
      </w:pPr>
    </w:p>
    <w:p w14:paraId="76F0D509">
      <w:pPr>
        <w:spacing w:line="360" w:lineRule="auto"/>
        <w:ind w:firstLine="643" w:firstLineChars="200"/>
        <w:jc w:val="center"/>
        <w:rPr>
          <w:rFonts w:hint="eastAsia" w:ascii="宋体" w:hAnsi="宋体" w:cs="宋体"/>
          <w:b/>
          <w:bCs/>
          <w:sz w:val="32"/>
          <w:szCs w:val="32"/>
        </w:rPr>
      </w:pPr>
    </w:p>
    <w:p w14:paraId="3EBDC0A6">
      <w:pPr>
        <w:spacing w:line="360" w:lineRule="auto"/>
        <w:ind w:firstLine="643" w:firstLineChars="200"/>
        <w:jc w:val="center"/>
        <w:rPr>
          <w:rFonts w:hint="eastAsia" w:ascii="宋体" w:hAnsi="宋体" w:cs="宋体"/>
          <w:b/>
          <w:bCs/>
          <w:sz w:val="32"/>
          <w:szCs w:val="32"/>
        </w:rPr>
      </w:pPr>
    </w:p>
    <w:p w14:paraId="67A48112">
      <w:pPr>
        <w:spacing w:line="360" w:lineRule="auto"/>
        <w:jc w:val="both"/>
        <w:rPr>
          <w:rFonts w:hint="eastAsia" w:ascii="方正仿宋_GBK" w:hAnsi="方正仿宋_GBK" w:eastAsia="方正仿宋_GBK" w:cs="方正仿宋_GBK"/>
          <w:b/>
          <w:sz w:val="36"/>
          <w:szCs w:val="36"/>
        </w:rPr>
        <w:sectPr>
          <w:headerReference r:id="rId5" w:type="default"/>
          <w:pgSz w:w="11907" w:h="16840"/>
          <w:pgMar w:top="1247" w:right="1134" w:bottom="1134" w:left="1134" w:header="851" w:footer="992" w:gutter="0"/>
          <w:pgNumType w:fmt="decimal" w:start="1"/>
          <w:cols w:space="720" w:num="1"/>
          <w:docGrid w:type="lines" w:linePitch="312" w:charSpace="0"/>
        </w:sectPr>
      </w:pPr>
    </w:p>
    <w:p w14:paraId="3FF75D36">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廉洁协议书</w:t>
      </w:r>
    </w:p>
    <w:p w14:paraId="2AC578CA">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7B145986">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乙  方：</w:t>
      </w:r>
    </w:p>
    <w:p w14:paraId="6B9909E9">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p w14:paraId="7D8E27A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5E4F556B">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1282598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234E8D8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C1589F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5B247FA8">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F5370F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0B3C4C05">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055DB94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54F5473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6E31E53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3CC16F1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081E755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264DEFE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7B2BA6E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1D675A68">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44E4C68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502398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56F5A7E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67647AC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437061D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058B8E4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7B1AF24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65A5CA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57D107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472C148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6EEB08B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56B2B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0AD2CCEC">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76EF5AF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02A35D6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139896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014B82B2">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F80658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 生态科技新城农村生活污水综合治理一期工程采购合同的附件应一并签订、保管，与该合同具有同等法律效力，经双方签署后立即生效。</w:t>
      </w:r>
    </w:p>
    <w:p w14:paraId="74DEDC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20ACB5BB">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5B8BE83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381BBD0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1C72CCF4">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64A4630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5B9E21B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6A9B7B14">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5CD79017">
      <w:pPr>
        <w:numPr>
          <w:ilvl w:val="0"/>
          <w:numId w:val="0"/>
        </w:numPr>
        <w:spacing w:line="312" w:lineRule="auto"/>
        <w:ind w:firstLine="420" w:firstLineChars="200"/>
        <w:rPr>
          <w:rFonts w:hint="eastAsia"/>
          <w:sz w:val="21"/>
          <w:szCs w:val="21"/>
        </w:rPr>
      </w:pPr>
    </w:p>
    <w:p w14:paraId="00ABDF1E">
      <w:pPr>
        <w:numPr>
          <w:ilvl w:val="0"/>
          <w:numId w:val="0"/>
        </w:numPr>
        <w:spacing w:line="312" w:lineRule="auto"/>
        <w:ind w:firstLine="420" w:firstLineChars="200"/>
        <w:rPr>
          <w:rFonts w:hint="eastAsia"/>
          <w:sz w:val="21"/>
          <w:szCs w:val="21"/>
        </w:rPr>
      </w:pPr>
    </w:p>
    <w:p w14:paraId="03BD5C44">
      <w:pPr>
        <w:numPr>
          <w:ilvl w:val="0"/>
          <w:numId w:val="0"/>
        </w:numPr>
        <w:spacing w:line="312" w:lineRule="auto"/>
        <w:ind w:firstLine="420" w:firstLineChars="200"/>
        <w:rPr>
          <w:rFonts w:hint="eastAsia"/>
          <w:sz w:val="21"/>
          <w:szCs w:val="21"/>
        </w:rPr>
      </w:pPr>
    </w:p>
    <w:p w14:paraId="7D047B46">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236408C2">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36916C38">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74731203">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49A538D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173AAEF">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16FF2879">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3611B52B">
      <w:pPr>
        <w:pStyle w:val="6"/>
        <w:rPr>
          <w:color w:val="000000" w:themeColor="text1"/>
          <w14:textFill>
            <w14:solidFill>
              <w14:schemeClr w14:val="tx1"/>
            </w14:solidFill>
          </w14:textFill>
        </w:rPr>
      </w:pPr>
    </w:p>
    <w:sectPr>
      <w:head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346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lvlText w:val="%1"/>
      <w:lvlJc w:val="left"/>
      <w:pPr>
        <w:tabs>
          <w:tab w:val="left" w:pos="360"/>
        </w:tabs>
        <w:ind w:left="360" w:hanging="360"/>
      </w:pPr>
      <w:rPr>
        <w:rFonts w:hint="eastAsia"/>
      </w:rPr>
    </w:lvl>
    <w:lvl w:ilvl="1" w:tentative="0">
      <w:start w:val="1"/>
      <w:numFmt w:val="decimal"/>
      <w:pStyle w:val="3"/>
      <w:isLgl/>
      <w:lvlText w:val="%1.%2"/>
      <w:lvlJc w:val="left"/>
      <w:pPr>
        <w:tabs>
          <w:tab w:val="left" w:pos="480"/>
        </w:tabs>
        <w:ind w:left="480" w:hanging="480"/>
      </w:pPr>
      <w:rPr>
        <w:rFonts w:hint="eastAsia"/>
      </w:rPr>
    </w:lvl>
    <w:lvl w:ilvl="2" w:tentative="0">
      <w:start w:val="1"/>
      <w:numFmt w:val="decimal"/>
      <w:isLgl/>
      <w:lvlText w:val="%1.%2.%3"/>
      <w:lvlJc w:val="left"/>
      <w:pPr>
        <w:tabs>
          <w:tab w:val="left" w:pos="480"/>
        </w:tabs>
        <w:ind w:left="480" w:hanging="480"/>
      </w:pPr>
      <w:rPr>
        <w:rFonts w:hint="eastAsia"/>
      </w:rPr>
    </w:lvl>
    <w:lvl w:ilvl="3" w:tentative="0">
      <w:start w:val="1"/>
      <w:numFmt w:val="decimal"/>
      <w:isLgl/>
      <w:lvlText w:val="%1.%2.%3.%4"/>
      <w:lvlJc w:val="left"/>
      <w:pPr>
        <w:tabs>
          <w:tab w:val="left" w:pos="480"/>
        </w:tabs>
        <w:ind w:left="480" w:hanging="480"/>
      </w:pPr>
      <w:rPr>
        <w:rFonts w:hint="eastAsia"/>
      </w:rPr>
    </w:lvl>
    <w:lvl w:ilvl="4" w:tentative="0">
      <w:start w:val="1"/>
      <w:numFmt w:val="decimal"/>
      <w:isLgl/>
      <w:lvlText w:val="%1.%2.%3.%4.%5"/>
      <w:lvlJc w:val="left"/>
      <w:pPr>
        <w:tabs>
          <w:tab w:val="left" w:pos="480"/>
        </w:tabs>
        <w:ind w:left="480" w:hanging="480"/>
      </w:pPr>
      <w:rPr>
        <w:rFonts w:hint="eastAsia"/>
      </w:rPr>
    </w:lvl>
    <w:lvl w:ilvl="5" w:tentative="0">
      <w:start w:val="1"/>
      <w:numFmt w:val="decimal"/>
      <w:isLgl/>
      <w:lvlText w:val="%1.%2.%3.%4.%5.%6"/>
      <w:lvlJc w:val="left"/>
      <w:pPr>
        <w:tabs>
          <w:tab w:val="left" w:pos="480"/>
        </w:tabs>
        <w:ind w:left="480" w:hanging="480"/>
      </w:pPr>
      <w:rPr>
        <w:rFonts w:hint="eastAsia"/>
      </w:rPr>
    </w:lvl>
    <w:lvl w:ilvl="6" w:tentative="0">
      <w:start w:val="1"/>
      <w:numFmt w:val="decimal"/>
      <w:isLgl/>
      <w:lvlText w:val="%1.%2.%3.%4.%5.%6.%7"/>
      <w:lvlJc w:val="left"/>
      <w:pPr>
        <w:tabs>
          <w:tab w:val="left" w:pos="480"/>
        </w:tabs>
        <w:ind w:left="480" w:hanging="480"/>
      </w:pPr>
      <w:rPr>
        <w:rFonts w:hint="eastAsia"/>
      </w:rPr>
    </w:lvl>
    <w:lvl w:ilvl="7" w:tentative="0">
      <w:start w:val="1"/>
      <w:numFmt w:val="decimal"/>
      <w:isLgl/>
      <w:lvlText w:val="%1.%2.%3.%4.%5.%6.%7.%8"/>
      <w:lvlJc w:val="left"/>
      <w:pPr>
        <w:tabs>
          <w:tab w:val="left" w:pos="480"/>
        </w:tabs>
        <w:ind w:left="480" w:hanging="480"/>
      </w:pPr>
      <w:rPr>
        <w:rFonts w:hint="eastAsia"/>
      </w:rPr>
    </w:lvl>
    <w:lvl w:ilvl="8" w:tentative="0">
      <w:start w:val="1"/>
      <w:numFmt w:val="decimal"/>
      <w:isLgl/>
      <w:lvlText w:val="%1.%2.%3.%4.%5.%6.%7.%8.%9"/>
      <w:lvlJc w:val="left"/>
      <w:pPr>
        <w:tabs>
          <w:tab w:val="left" w:pos="480"/>
        </w:tabs>
        <w:ind w:left="480" w:hanging="480"/>
      </w:pPr>
      <w:rPr>
        <w:rFonts w:hint="eastAsia"/>
      </w:rPr>
    </w:lvl>
  </w:abstractNum>
  <w:abstractNum w:abstractNumId="1">
    <w:nsid w:val="26897F35"/>
    <w:multiLevelType w:val="multilevel"/>
    <w:tmpl w:val="26897F35"/>
    <w:lvl w:ilvl="0" w:tentative="0">
      <w:start w:val="1"/>
      <w:numFmt w:val="decimal"/>
      <w:lvlText w:val="%1、"/>
      <w:lvlJc w:val="left"/>
      <w:pPr>
        <w:ind w:left="927" w:hanging="360"/>
      </w:pPr>
      <w:rPr>
        <w:rFonts w:ascii="宋体" w:hAnsi="宋体" w:eastAsia="宋体" w:cs="Times New Roman"/>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TE4NmRlNGM2YjQ1ODA1ZTE5NjY4YzI3NDM5NjA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161BFC"/>
    <w:rsid w:val="01B97F5E"/>
    <w:rsid w:val="03920CFE"/>
    <w:rsid w:val="03A013D6"/>
    <w:rsid w:val="03C76963"/>
    <w:rsid w:val="04463D2B"/>
    <w:rsid w:val="04ED064B"/>
    <w:rsid w:val="05235BBF"/>
    <w:rsid w:val="057A6F83"/>
    <w:rsid w:val="06574153"/>
    <w:rsid w:val="07B132EE"/>
    <w:rsid w:val="09A23D87"/>
    <w:rsid w:val="0A136120"/>
    <w:rsid w:val="0B0047B2"/>
    <w:rsid w:val="0C006D9B"/>
    <w:rsid w:val="0C391C75"/>
    <w:rsid w:val="0C460641"/>
    <w:rsid w:val="0D046532"/>
    <w:rsid w:val="0D562B05"/>
    <w:rsid w:val="0E5A3EAC"/>
    <w:rsid w:val="0E5D3646"/>
    <w:rsid w:val="105E328D"/>
    <w:rsid w:val="10736389"/>
    <w:rsid w:val="118916FB"/>
    <w:rsid w:val="11DD6CEC"/>
    <w:rsid w:val="12AD1419"/>
    <w:rsid w:val="12EA5FE1"/>
    <w:rsid w:val="13141EF4"/>
    <w:rsid w:val="133E02C4"/>
    <w:rsid w:val="137837D5"/>
    <w:rsid w:val="13891902"/>
    <w:rsid w:val="142C4DA5"/>
    <w:rsid w:val="14C97A10"/>
    <w:rsid w:val="158F2D02"/>
    <w:rsid w:val="16924BAE"/>
    <w:rsid w:val="16D64DEC"/>
    <w:rsid w:val="1748310D"/>
    <w:rsid w:val="18282018"/>
    <w:rsid w:val="192D0BBE"/>
    <w:rsid w:val="196B5EE3"/>
    <w:rsid w:val="1B32070E"/>
    <w:rsid w:val="1B495A3F"/>
    <w:rsid w:val="1B863EE4"/>
    <w:rsid w:val="1BC96078"/>
    <w:rsid w:val="1C595AFE"/>
    <w:rsid w:val="1D524DB7"/>
    <w:rsid w:val="1D8F1E47"/>
    <w:rsid w:val="1E4B2C37"/>
    <w:rsid w:val="1E6225BB"/>
    <w:rsid w:val="1EC21A64"/>
    <w:rsid w:val="1EC92A20"/>
    <w:rsid w:val="206C021E"/>
    <w:rsid w:val="20FB5A46"/>
    <w:rsid w:val="22E23D79"/>
    <w:rsid w:val="237D3C03"/>
    <w:rsid w:val="23817AA7"/>
    <w:rsid w:val="2420447C"/>
    <w:rsid w:val="260C121F"/>
    <w:rsid w:val="26BA2DC8"/>
    <w:rsid w:val="26E30BFE"/>
    <w:rsid w:val="28E66D39"/>
    <w:rsid w:val="2A9C740E"/>
    <w:rsid w:val="2B4431B2"/>
    <w:rsid w:val="2C5C6841"/>
    <w:rsid w:val="2CA37518"/>
    <w:rsid w:val="2D3465E1"/>
    <w:rsid w:val="2E81295C"/>
    <w:rsid w:val="2F0130FE"/>
    <w:rsid w:val="2FFE5B53"/>
    <w:rsid w:val="31783BAE"/>
    <w:rsid w:val="31A368A5"/>
    <w:rsid w:val="31F0483A"/>
    <w:rsid w:val="3220530C"/>
    <w:rsid w:val="32361C91"/>
    <w:rsid w:val="32CA33D5"/>
    <w:rsid w:val="33105381"/>
    <w:rsid w:val="33976056"/>
    <w:rsid w:val="34351D65"/>
    <w:rsid w:val="34804ED0"/>
    <w:rsid w:val="35F03248"/>
    <w:rsid w:val="377C1237"/>
    <w:rsid w:val="37AF7C77"/>
    <w:rsid w:val="387719FE"/>
    <w:rsid w:val="3B257EFE"/>
    <w:rsid w:val="3BF267C2"/>
    <w:rsid w:val="3C691FB0"/>
    <w:rsid w:val="3F8E7211"/>
    <w:rsid w:val="40EB4D37"/>
    <w:rsid w:val="41423887"/>
    <w:rsid w:val="420F0EF1"/>
    <w:rsid w:val="42AA73F0"/>
    <w:rsid w:val="43BC6694"/>
    <w:rsid w:val="442567B2"/>
    <w:rsid w:val="44843BD4"/>
    <w:rsid w:val="45C1250B"/>
    <w:rsid w:val="46E953C6"/>
    <w:rsid w:val="4883384F"/>
    <w:rsid w:val="49050C67"/>
    <w:rsid w:val="49066914"/>
    <w:rsid w:val="49B818C5"/>
    <w:rsid w:val="4AD23574"/>
    <w:rsid w:val="4AE83AA4"/>
    <w:rsid w:val="4AEF0FE5"/>
    <w:rsid w:val="4B7029BB"/>
    <w:rsid w:val="4C3558DD"/>
    <w:rsid w:val="4D706CF0"/>
    <w:rsid w:val="4FE34DE9"/>
    <w:rsid w:val="50B6349B"/>
    <w:rsid w:val="50D715FA"/>
    <w:rsid w:val="50D92A99"/>
    <w:rsid w:val="513F3A5E"/>
    <w:rsid w:val="516A7EFA"/>
    <w:rsid w:val="516E79EA"/>
    <w:rsid w:val="51C70511"/>
    <w:rsid w:val="523634E2"/>
    <w:rsid w:val="527F3A06"/>
    <w:rsid w:val="5382152B"/>
    <w:rsid w:val="53A92F5C"/>
    <w:rsid w:val="547A46F5"/>
    <w:rsid w:val="56A8222D"/>
    <w:rsid w:val="571E1031"/>
    <w:rsid w:val="58A65CBC"/>
    <w:rsid w:val="58D6764A"/>
    <w:rsid w:val="592C74C5"/>
    <w:rsid w:val="592F26FE"/>
    <w:rsid w:val="5980650D"/>
    <w:rsid w:val="59B57910"/>
    <w:rsid w:val="59D52356"/>
    <w:rsid w:val="5E445D2E"/>
    <w:rsid w:val="61693D2A"/>
    <w:rsid w:val="62C31218"/>
    <w:rsid w:val="6370314E"/>
    <w:rsid w:val="64BE438D"/>
    <w:rsid w:val="64FD6B36"/>
    <w:rsid w:val="657405F8"/>
    <w:rsid w:val="65B66C75"/>
    <w:rsid w:val="65CC4888"/>
    <w:rsid w:val="65EB0E69"/>
    <w:rsid w:val="66746855"/>
    <w:rsid w:val="667F60B7"/>
    <w:rsid w:val="678F10BD"/>
    <w:rsid w:val="68537464"/>
    <w:rsid w:val="68B00491"/>
    <w:rsid w:val="68C57F09"/>
    <w:rsid w:val="69D77E46"/>
    <w:rsid w:val="6AB44268"/>
    <w:rsid w:val="6BBB4685"/>
    <w:rsid w:val="6CF272CA"/>
    <w:rsid w:val="6D116F45"/>
    <w:rsid w:val="6FA2234A"/>
    <w:rsid w:val="6FD30157"/>
    <w:rsid w:val="7125513B"/>
    <w:rsid w:val="726C5429"/>
    <w:rsid w:val="75DE663D"/>
    <w:rsid w:val="7686731E"/>
    <w:rsid w:val="778C2829"/>
    <w:rsid w:val="77D7083D"/>
    <w:rsid w:val="77E9764D"/>
    <w:rsid w:val="78135BBF"/>
    <w:rsid w:val="78387804"/>
    <w:rsid w:val="79013C48"/>
    <w:rsid w:val="79F0693F"/>
    <w:rsid w:val="7A546ECE"/>
    <w:rsid w:val="7AB94D91"/>
    <w:rsid w:val="7B646DB9"/>
    <w:rsid w:val="7CCA4BCF"/>
    <w:rsid w:val="7DB6110D"/>
    <w:rsid w:val="7DE43C27"/>
    <w:rsid w:val="7E2954CB"/>
    <w:rsid w:val="7E5111F0"/>
    <w:rsid w:val="7E696CC0"/>
    <w:rsid w:val="7EAB3892"/>
    <w:rsid w:val="7EAD31FB"/>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4"/>
    <w:qFormat/>
    <w:uiPriority w:val="0"/>
    <w:pPr>
      <w:keepNext/>
      <w:keepLines/>
      <w:numPr>
        <w:ilvl w:val="1"/>
        <w:numId w:val="1"/>
      </w:numPr>
      <w:spacing w:before="120" w:after="120"/>
      <w:outlineLvl w:val="1"/>
    </w:pPr>
    <w:rPr>
      <w:rFonts w:ascii="Arial" w:hAnsi="Arial" w:eastAsia="宋体" w:cs="Times New Roman"/>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ascii="Calibri" w:hAnsi="Calibri" w:eastAsia="宋体" w:cs="Times New Roman"/>
      <w:kern w:val="0"/>
      <w:sz w:val="24"/>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character" w:customStyle="1" w:styleId="22">
    <w:name w:val="页脚 Char"/>
    <w:link w:val="12"/>
    <w:qFormat/>
    <w:uiPriority w:val="0"/>
    <w:rPr>
      <w:kern w:val="2"/>
      <w:sz w:val="18"/>
      <w:szCs w:val="18"/>
    </w:rPr>
  </w:style>
  <w:style w:type="character" w:customStyle="1" w:styleId="23">
    <w:name w:val="正文文本缩进 Char"/>
    <w:link w:val="7"/>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1">
    <w:name w:val="表格"/>
    <w:qFormat/>
    <w:uiPriority w:val="0"/>
    <w:pPr>
      <w:spacing w:line="360" w:lineRule="auto"/>
      <w:jc w:val="center"/>
    </w:pPr>
    <w:rPr>
      <w:rFonts w:ascii="宋体" w:hAnsi="宋体" w:eastAsia="宋体" w:cs="Times New Roman"/>
      <w:bCs/>
      <w:spacing w:val="-4"/>
      <w:kern w:val="2"/>
      <w:sz w:val="21"/>
      <w:szCs w:val="22"/>
      <w:lang w:val="en-US" w:eastAsia="zh-CN" w:bidi="ar-SA"/>
    </w:rPr>
  </w:style>
  <w:style w:type="paragraph" w:customStyle="1" w:styleId="32">
    <w:name w:val="Table Paragraph"/>
    <w:basedOn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4762</Words>
  <Characters>5216</Characters>
  <Lines>30</Lines>
  <Paragraphs>8</Paragraphs>
  <TotalTime>33</TotalTime>
  <ScaleCrop>false</ScaleCrop>
  <LinksUpToDate>false</LinksUpToDate>
  <CharactersWithSpaces>5634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胡雨</cp:lastModifiedBy>
  <cp:lastPrinted>2024-11-22T02:18:00Z</cp:lastPrinted>
  <dcterms:modified xsi:type="dcterms:W3CDTF">2024-11-22T06:38:03Z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24CF97D6C03C48E4B2AC83E3FA5B5083_13</vt:lpwstr>
  </property>
</Properties>
</file>