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43EF9">
      <w:pPr>
        <w:pStyle w:val="6"/>
        <w:ind w:left="0" w:leftChars="0"/>
        <w:jc w:val="center"/>
        <w:rPr>
          <w:rFonts w:hint="eastAsia" w:ascii="仿宋_GB2312" w:hAnsi="宋体" w:eastAsia="仿宋_GB2312"/>
          <w:b/>
          <w:spacing w:val="28"/>
          <w:sz w:val="52"/>
          <w:szCs w:val="48"/>
        </w:rPr>
      </w:pPr>
      <w:r>
        <w:rPr>
          <w:rFonts w:hint="eastAsia" w:ascii="仿宋_GB2312" w:hAnsi="宋体" w:eastAsia="仿宋_GB2312"/>
          <w:b/>
          <w:spacing w:val="28"/>
          <w:sz w:val="52"/>
          <w:szCs w:val="48"/>
        </w:rPr>
        <w:t>扬州市上善建设工程有限公司</w:t>
      </w:r>
    </w:p>
    <w:p w14:paraId="0E078E83">
      <w:pPr>
        <w:rPr>
          <w:rFonts w:hint="eastAsia"/>
        </w:rPr>
      </w:pPr>
    </w:p>
    <w:p w14:paraId="0B686DAE">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GZ386东出口项目</w:t>
      </w:r>
    </w:p>
    <w:p w14:paraId="426F053D">
      <w:pPr>
        <w:jc w:val="center"/>
        <w:rPr>
          <w:rFonts w:hint="default" w:ascii="仿宋_GB2312" w:hAnsi="宋体" w:eastAsia="仿宋_GB2312"/>
          <w:b/>
          <w:color w:val="000000" w:themeColor="text1"/>
          <w:spacing w:val="28"/>
          <w:sz w:val="52"/>
          <w:szCs w:val="48"/>
          <w:lang w:val="en-US"/>
          <w14:textFill>
            <w14:solidFill>
              <w14:schemeClr w14:val="tx1"/>
            </w14:solidFill>
          </w14:textFill>
        </w:rPr>
      </w:pPr>
      <w:r>
        <w:rPr>
          <w:rFonts w:hint="eastAsia" w:ascii="仿宋_GB2312" w:hAnsi="宋体" w:eastAsia="仿宋_GB2312"/>
          <w:b/>
          <w:spacing w:val="28"/>
          <w:sz w:val="52"/>
          <w:szCs w:val="48"/>
          <w:lang w:val="en-US" w:eastAsia="zh-CN"/>
        </w:rPr>
        <w:t>金属栏杆材料采购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56910EDD">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00B4A65">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04D3E88B">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val="en-US" w:eastAsia="zh-CN"/>
          <w14:textFill>
            <w14:solidFill>
              <w14:schemeClr w14:val="tx1"/>
            </w14:solidFill>
          </w14:textFill>
        </w:rPr>
        <w:t>扬州市上善建</w:t>
      </w:r>
      <w:bookmarkStart w:id="2" w:name="_GoBack"/>
      <w:bookmarkEnd w:id="2"/>
      <w:r>
        <w:rPr>
          <w:rFonts w:hint="eastAsia" w:ascii="仿宋_GB2312" w:hAnsi="宋体" w:eastAsia="仿宋_GB2312"/>
          <w:b/>
          <w:bCs/>
          <w:snapToGrid w:val="0"/>
          <w:color w:val="000000" w:themeColor="text1"/>
          <w:sz w:val="30"/>
          <w:lang w:val="en-US" w:eastAsia="zh-CN"/>
          <w14:textFill>
            <w14:solidFill>
              <w14:schemeClr w14:val="tx1"/>
            </w14:solidFill>
          </w14:textFill>
        </w:rPr>
        <w:t>设工程有限公司</w:t>
      </w:r>
    </w:p>
    <w:p w14:paraId="576369FC">
      <w:pPr>
        <w:spacing w:line="460" w:lineRule="exact"/>
        <w:ind w:firstLine="1494" w:firstLineChars="496"/>
        <w:rPr>
          <w:rFonts w:hint="eastAsia" w:ascii="方正仿宋_GBK" w:hAnsi="方正仿宋_GBK" w:eastAsia="方正仿宋_GBK" w:cs="方正仿宋_GBK"/>
          <w:b/>
          <w:bCs/>
          <w:snapToGrid w:val="0"/>
          <w:sz w:val="30"/>
          <w:u w:val="single"/>
          <w:lang w:val="en-US" w:eastAsia="zh-CN"/>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方正仿宋_GBK" w:hAnsi="方正仿宋_GBK" w:eastAsia="方正仿宋_GBK" w:cs="方正仿宋_GBK"/>
          <w:b/>
          <w:bCs/>
          <w:snapToGrid w:val="0"/>
          <w:sz w:val="30"/>
          <w:u w:val="single"/>
          <w:lang w:val="en-US" w:eastAsia="zh-CN"/>
        </w:rPr>
        <w:t>2025</w:t>
      </w:r>
      <w:r>
        <w:rPr>
          <w:rFonts w:hint="eastAsia" w:ascii="方正仿宋_GBK" w:hAnsi="方正仿宋_GBK" w:eastAsia="方正仿宋_GBK" w:cs="方正仿宋_GBK"/>
          <w:b/>
          <w:bCs/>
          <w:snapToGrid w:val="0"/>
          <w:sz w:val="30"/>
          <w:u w:val="none"/>
          <w:lang w:val="en-US" w:eastAsia="zh-CN"/>
        </w:rPr>
        <w:t>年</w:t>
      </w:r>
      <w:r>
        <w:rPr>
          <w:rFonts w:hint="eastAsia" w:ascii="方正仿宋_GBK" w:hAnsi="方正仿宋_GBK" w:eastAsia="方正仿宋_GBK" w:cs="方正仿宋_GBK"/>
          <w:b/>
          <w:bCs/>
          <w:snapToGrid w:val="0"/>
          <w:sz w:val="30"/>
          <w:u w:val="single"/>
          <w:lang w:val="en-US" w:eastAsia="zh-CN"/>
        </w:rPr>
        <w:t>11</w:t>
      </w:r>
      <w:r>
        <w:rPr>
          <w:rFonts w:hint="eastAsia" w:ascii="方正仿宋_GBK" w:hAnsi="方正仿宋_GBK" w:eastAsia="方正仿宋_GBK" w:cs="方正仿宋_GBK"/>
          <w:b/>
          <w:bCs/>
          <w:snapToGrid w:val="0"/>
          <w:sz w:val="30"/>
          <w:u w:val="none"/>
          <w:lang w:val="en-US" w:eastAsia="zh-CN"/>
        </w:rPr>
        <w:t>月</w:t>
      </w:r>
      <w:r>
        <w:rPr>
          <w:rFonts w:hint="eastAsia" w:ascii="方正仿宋_GBK" w:hAnsi="方正仿宋_GBK" w:eastAsia="方正仿宋_GBK" w:cs="方正仿宋_GBK"/>
          <w:b/>
          <w:bCs/>
          <w:snapToGrid w:val="0"/>
          <w:sz w:val="30"/>
          <w:u w:val="single"/>
          <w:lang w:val="en-US" w:eastAsia="zh-CN"/>
        </w:rPr>
        <w:t>28</w:t>
      </w:r>
      <w:r>
        <w:rPr>
          <w:rFonts w:hint="eastAsia" w:ascii="方正仿宋_GBK" w:hAnsi="方正仿宋_GBK" w:eastAsia="方正仿宋_GBK" w:cs="方正仿宋_GBK"/>
          <w:b/>
          <w:bCs/>
          <w:snapToGrid w:val="0"/>
          <w:sz w:val="30"/>
          <w:u w:val="none"/>
          <w:lang w:val="en-US" w:eastAsia="zh-CN"/>
        </w:rPr>
        <w:t>日</w:t>
      </w:r>
    </w:p>
    <w:p w14:paraId="70A966EA">
      <w:pPr>
        <w:spacing w:line="360" w:lineRule="auto"/>
        <w:jc w:val="both"/>
        <w:outlineLvl w:val="0"/>
        <w:rPr>
          <w:rFonts w:hint="eastAsia" w:ascii="宋体" w:hAnsi="宋体"/>
          <w:b/>
          <w:color w:val="000000" w:themeColor="text1"/>
          <w:sz w:val="36"/>
          <w:szCs w:val="36"/>
          <w14:textFill>
            <w14:solidFill>
              <w14:schemeClr w14:val="tx1"/>
            </w14:solidFill>
          </w14:textFill>
        </w:r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57"/>
        <w:gridCol w:w="1942"/>
        <w:gridCol w:w="1105"/>
        <w:gridCol w:w="3125"/>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157"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24"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74AA16D">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GZ386东出口项目</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4"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524"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见附表</w:t>
            </w:r>
          </w:p>
        </w:tc>
      </w:tr>
      <w:tr w14:paraId="0A38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2510AB4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157" w:type="dxa"/>
            <w:tcBorders>
              <w:top w:val="single" w:color="auto" w:sz="4" w:space="0"/>
              <w:left w:val="single" w:color="auto" w:sz="4" w:space="0"/>
              <w:bottom w:val="single" w:color="auto" w:sz="4" w:space="0"/>
              <w:right w:val="single" w:color="auto" w:sz="4" w:space="0"/>
            </w:tcBorders>
            <w:vAlign w:val="center"/>
          </w:tcPr>
          <w:p w14:paraId="3A3A5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招标控制</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E5E7277">
            <w:pPr>
              <w:spacing w:line="360" w:lineRule="auto"/>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FF0000"/>
                <w:szCs w:val="21"/>
                <w:lang w:val="en-US" w:eastAsia="zh-CN"/>
              </w:rPr>
              <w:t>固定单价报价</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157"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219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4" w:type="dxa"/>
            <w:tcBorders>
              <w:top w:val="single" w:color="auto" w:sz="4" w:space="0"/>
              <w:left w:val="single" w:color="auto" w:sz="4" w:space="0"/>
              <w:bottom w:val="single" w:color="auto" w:sz="4" w:space="0"/>
              <w:right w:val="single" w:color="auto" w:sz="4" w:space="0"/>
            </w:tcBorders>
            <w:vAlign w:val="center"/>
          </w:tcPr>
          <w:p w14:paraId="4F266CD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157" w:type="dxa"/>
            <w:tcBorders>
              <w:top w:val="single" w:color="auto" w:sz="4" w:space="0"/>
              <w:left w:val="single" w:color="auto" w:sz="4" w:space="0"/>
              <w:bottom w:val="single" w:color="auto" w:sz="4" w:space="0"/>
              <w:right w:val="single" w:color="auto" w:sz="4" w:space="0"/>
            </w:tcBorders>
            <w:vAlign w:val="center"/>
          </w:tcPr>
          <w:p w14:paraId="132869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85D0CF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见附表</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24"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157"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4"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157"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4"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157"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24"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2157"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DD7780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24"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p>
        </w:tc>
        <w:tc>
          <w:tcPr>
            <w:tcW w:w="2157"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157"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4"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p>
        </w:tc>
        <w:tc>
          <w:tcPr>
            <w:tcW w:w="2157"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hint="eastAsia" w:ascii="宋体" w:hAnsi="宋体"/>
                <w:color w:val="auto"/>
                <w:szCs w:val="21"/>
              </w:rPr>
              <w:t>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11</w:t>
            </w:r>
            <w:r>
              <w:rPr>
                <w:rFonts w:hint="eastAsia" w:ascii="宋体" w:hAnsi="宋体"/>
                <w:color w:val="auto"/>
                <w:szCs w:val="21"/>
              </w:rPr>
              <w:t>月</w:t>
            </w:r>
            <w:r>
              <w:rPr>
                <w:rFonts w:hint="eastAsia" w:ascii="宋体" w:hAnsi="宋体"/>
                <w:color w:val="auto"/>
                <w:szCs w:val="21"/>
                <w:lang w:val="en-US" w:eastAsia="zh-CN"/>
              </w:rPr>
              <w:t xml:space="preserve"> 28</w:t>
            </w:r>
            <w:r>
              <w:rPr>
                <w:rFonts w:hint="eastAsia" w:ascii="宋体" w:hAnsi="宋体"/>
                <w:color w:val="auto"/>
                <w:szCs w:val="21"/>
              </w:rPr>
              <w:t>日——202</w:t>
            </w:r>
            <w:r>
              <w:rPr>
                <w:rFonts w:hint="eastAsia" w:ascii="宋体" w:hAnsi="宋体"/>
                <w:color w:val="auto"/>
                <w:szCs w:val="21"/>
                <w:lang w:val="en-US" w:eastAsia="zh-CN"/>
              </w:rPr>
              <w:t>5</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 xml:space="preserve"> 1</w:t>
            </w:r>
            <w:r>
              <w:rPr>
                <w:rFonts w:hint="eastAsia" w:ascii="宋体" w:hAnsi="宋体"/>
                <w:color w:val="auto"/>
                <w:szCs w:val="21"/>
              </w:rPr>
              <w:t>日</w:t>
            </w:r>
            <w:r>
              <w:rPr>
                <w:rFonts w:hint="eastAsia" w:ascii="宋体" w:hAnsi="宋体" w:cs="Times New Roman"/>
                <w:color w:val="auto"/>
                <w:szCs w:val="21"/>
                <w:lang w:val="en-US" w:eastAsia="zh-CN"/>
              </w:rPr>
              <w:t xml:space="preserve"> 16</w:t>
            </w:r>
            <w:r>
              <w:rPr>
                <w:rFonts w:hint="eastAsia" w:ascii="宋体" w:hAnsi="宋体" w:cs="Times New Roman"/>
                <w:color w:val="auto"/>
                <w:szCs w:val="21"/>
              </w:rPr>
              <w:t>点</w:t>
            </w:r>
            <w:r>
              <w:rPr>
                <w:rFonts w:hint="eastAsia" w:ascii="宋体" w:hAnsi="宋体" w:cs="Times New Roman"/>
                <w:color w:val="auto"/>
                <w:szCs w:val="21"/>
                <w:lang w:val="en-US" w:eastAsia="zh-CN"/>
              </w:rPr>
              <w:t>00</w:t>
            </w:r>
            <w:r>
              <w:rPr>
                <w:rFonts w:hint="eastAsia" w:ascii="宋体" w:hAnsi="宋体" w:cs="Times New Roman"/>
                <w:color w:val="auto"/>
                <w:szCs w:val="21"/>
              </w:rPr>
              <w:t>分（北京时间）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4"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157"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72"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157"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4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105"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25"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auto"/>
                <w:szCs w:val="21"/>
              </w:rPr>
              <w:t>扬州市立新路14号2楼小会议室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4"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157"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4"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157"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本招标文件的解释权属于扬州市上善建设工程有限公司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524"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18</w:t>
            </w:r>
          </w:p>
        </w:tc>
        <w:tc>
          <w:tcPr>
            <w:tcW w:w="2157"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72"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B1CFB0B">
      <w:pPr>
        <w:autoSpaceDE w:val="0"/>
        <w:autoSpaceDN w:val="0"/>
        <w:adjustRightInd w:val="0"/>
        <w:snapToGrid w:val="0"/>
        <w:spacing w:line="480" w:lineRule="exact"/>
        <w:ind w:firstLine="527" w:firstLineChars="2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因GZ386东出口项目需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left="-387" w:leftChars="0" w:firstLine="774" w:firstLineChars="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422" w:firstLineChars="200"/>
        <w:rPr>
          <w:rFonts w:hint="eastAsia"/>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b w:val="0"/>
          <w:bCs/>
          <w:szCs w:val="21"/>
          <w:lang w:eastAsia="zh-CN"/>
        </w:rPr>
        <w:t>GZ386东出口项目</w:t>
      </w:r>
      <w:r>
        <w:rPr>
          <w:rFonts w:hint="eastAsia" w:ascii="宋体" w:hAnsi="宋体"/>
          <w:szCs w:val="21"/>
          <w:lang w:val="en-US" w:eastAsia="zh-CN"/>
        </w:rPr>
        <w:t>材料采购</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479"/>
        <w:gridCol w:w="1350"/>
        <w:gridCol w:w="750"/>
        <w:gridCol w:w="915"/>
        <w:gridCol w:w="1575"/>
        <w:gridCol w:w="1590"/>
        <w:gridCol w:w="1530"/>
      </w:tblGrid>
      <w:tr w14:paraId="014F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66" w:type="dxa"/>
            <w:shd w:val="clear" w:color="auto" w:fill="auto"/>
            <w:vAlign w:val="center"/>
          </w:tcPr>
          <w:p w14:paraId="51E9DF18">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序号</w:t>
            </w:r>
          </w:p>
        </w:tc>
        <w:tc>
          <w:tcPr>
            <w:tcW w:w="1479" w:type="dxa"/>
            <w:shd w:val="clear" w:color="auto" w:fill="auto"/>
            <w:vAlign w:val="center"/>
          </w:tcPr>
          <w:p w14:paraId="69BE5FD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名称</w:t>
            </w:r>
          </w:p>
        </w:tc>
        <w:tc>
          <w:tcPr>
            <w:tcW w:w="1350" w:type="dxa"/>
            <w:shd w:val="clear" w:color="auto" w:fill="auto"/>
            <w:vAlign w:val="center"/>
          </w:tcPr>
          <w:p w14:paraId="7063CC3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750" w:type="dxa"/>
            <w:shd w:val="clear" w:color="auto" w:fill="auto"/>
            <w:vAlign w:val="center"/>
          </w:tcPr>
          <w:p w14:paraId="3BAD5D81">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915" w:type="dxa"/>
            <w:shd w:val="clear" w:color="auto" w:fill="auto"/>
            <w:vAlign w:val="center"/>
          </w:tcPr>
          <w:p w14:paraId="2F6FC91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数量</w:t>
            </w:r>
          </w:p>
        </w:tc>
        <w:tc>
          <w:tcPr>
            <w:tcW w:w="1575" w:type="dxa"/>
            <w:shd w:val="clear" w:color="auto" w:fill="auto"/>
            <w:vAlign w:val="center"/>
          </w:tcPr>
          <w:p w14:paraId="1A6D60C5">
            <w:pPr>
              <w:pStyle w:val="6"/>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最高限价</w:t>
            </w:r>
          </w:p>
          <w:p w14:paraId="0FCEADCB">
            <w:pPr>
              <w:pStyle w:val="6"/>
              <w:ind w:left="0" w:leftChars="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元</w:t>
            </w:r>
          </w:p>
        </w:tc>
        <w:tc>
          <w:tcPr>
            <w:tcW w:w="1590" w:type="dxa"/>
            <w:shd w:val="clear" w:color="auto" w:fill="auto"/>
            <w:vAlign w:val="center"/>
          </w:tcPr>
          <w:p w14:paraId="57B94FDB">
            <w:pPr>
              <w:pStyle w:val="6"/>
              <w:ind w:left="0"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总价</w:t>
            </w:r>
          </w:p>
          <w:p w14:paraId="204CA9B3">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含</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税价</w:t>
            </w:r>
            <w:r>
              <w:rPr>
                <w:rFonts w:hint="eastAsia"/>
                <w:color w:val="000000" w:themeColor="text1"/>
                <w:lang w:val="en-US" w:eastAsia="zh-CN"/>
                <w14:textFill>
                  <w14:solidFill>
                    <w14:schemeClr w14:val="tx1"/>
                  </w14:solidFill>
                </w14:textFill>
              </w:rPr>
              <w:t>）元</w:t>
            </w:r>
          </w:p>
        </w:tc>
        <w:tc>
          <w:tcPr>
            <w:tcW w:w="1530" w:type="dxa"/>
            <w:shd w:val="clear" w:color="auto" w:fill="auto"/>
            <w:vAlign w:val="center"/>
          </w:tcPr>
          <w:p w14:paraId="6B2ADE2A">
            <w:pPr>
              <w:pStyle w:val="6"/>
              <w:ind w:left="0" w:left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65A1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66" w:type="dxa"/>
            <w:vAlign w:val="center"/>
          </w:tcPr>
          <w:p w14:paraId="230599CE">
            <w:pPr>
              <w:jc w:val="center"/>
              <w:rPr>
                <w:rFonts w:hint="default"/>
                <w:vertAlign w:val="baseline"/>
                <w:lang w:val="en-US" w:eastAsia="zh-CN"/>
              </w:rPr>
            </w:pPr>
            <w:r>
              <w:rPr>
                <w:rFonts w:hint="eastAsia"/>
                <w:vertAlign w:val="baseline"/>
                <w:lang w:val="en-US" w:eastAsia="zh-CN"/>
              </w:rPr>
              <w:t>1</w:t>
            </w:r>
          </w:p>
        </w:tc>
        <w:tc>
          <w:tcPr>
            <w:tcW w:w="1479" w:type="dxa"/>
            <w:vAlign w:val="center"/>
          </w:tcPr>
          <w:p w14:paraId="5A8BAFEA">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金属栏杆</w:t>
            </w:r>
          </w:p>
        </w:tc>
        <w:tc>
          <w:tcPr>
            <w:tcW w:w="1350" w:type="dxa"/>
            <w:vAlign w:val="center"/>
          </w:tcPr>
          <w:p w14:paraId="495645EC">
            <w:pPr>
              <w:keepNext w:val="0"/>
              <w:keepLines w:val="0"/>
              <w:widowControl/>
              <w:suppressLineNumbers w:val="0"/>
              <w:jc w:val="center"/>
              <w:textAlignment w:val="center"/>
              <w:rPr>
                <w:rFonts w:hint="default"/>
                <w:vertAlign w:val="baseline"/>
                <w:lang w:val="en-US" w:eastAsia="zh-CN"/>
              </w:rPr>
            </w:pPr>
          </w:p>
        </w:tc>
        <w:tc>
          <w:tcPr>
            <w:tcW w:w="750" w:type="dxa"/>
            <w:vAlign w:val="center"/>
          </w:tcPr>
          <w:p w14:paraId="0DFB494D">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米</w:t>
            </w:r>
          </w:p>
        </w:tc>
        <w:tc>
          <w:tcPr>
            <w:tcW w:w="915" w:type="dxa"/>
            <w:vAlign w:val="center"/>
          </w:tcPr>
          <w:p w14:paraId="0A2C1327">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100.24</w:t>
            </w:r>
          </w:p>
        </w:tc>
        <w:tc>
          <w:tcPr>
            <w:tcW w:w="1575" w:type="dxa"/>
            <w:shd w:val="clear" w:color="auto" w:fill="auto"/>
            <w:vAlign w:val="center"/>
          </w:tcPr>
          <w:p w14:paraId="1835FCB8">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3300</w:t>
            </w:r>
          </w:p>
        </w:tc>
        <w:tc>
          <w:tcPr>
            <w:tcW w:w="1590" w:type="dxa"/>
            <w:vAlign w:val="center"/>
          </w:tcPr>
          <w:p w14:paraId="03E8CFD5">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330792</w:t>
            </w:r>
          </w:p>
        </w:tc>
        <w:tc>
          <w:tcPr>
            <w:tcW w:w="1530" w:type="dxa"/>
            <w:vAlign w:val="center"/>
          </w:tcPr>
          <w:p w14:paraId="5E75AF30">
            <w:pPr>
              <w:jc w:val="center"/>
              <w:rPr>
                <w:rFonts w:hint="default"/>
                <w:vertAlign w:val="baseline"/>
                <w:lang w:val="en-US" w:eastAsia="zh-CN"/>
              </w:rPr>
            </w:pPr>
            <w:r>
              <w:rPr>
                <w:rFonts w:hint="eastAsia"/>
                <w:vertAlign w:val="baseline"/>
                <w:lang w:val="en-US" w:eastAsia="zh-CN"/>
              </w:rPr>
              <w:t>包安装、预埋件，灯光效果</w:t>
            </w:r>
          </w:p>
        </w:tc>
      </w:tr>
      <w:tr w14:paraId="098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6" w:type="dxa"/>
            <w:vAlign w:val="center"/>
          </w:tcPr>
          <w:p w14:paraId="7462B7B2">
            <w:pPr>
              <w:jc w:val="center"/>
              <w:rPr>
                <w:rFonts w:hint="default"/>
                <w:vertAlign w:val="baseline"/>
                <w:lang w:val="en-US" w:eastAsia="zh-CN"/>
              </w:rPr>
            </w:pPr>
            <w:r>
              <w:rPr>
                <w:rFonts w:hint="eastAsia"/>
                <w:vertAlign w:val="baseline"/>
                <w:lang w:val="en-US" w:eastAsia="zh-CN"/>
              </w:rPr>
              <w:t>合计</w:t>
            </w:r>
          </w:p>
        </w:tc>
        <w:tc>
          <w:tcPr>
            <w:tcW w:w="1479" w:type="dxa"/>
            <w:vAlign w:val="center"/>
          </w:tcPr>
          <w:p w14:paraId="4261A5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vAlign w:val="center"/>
          </w:tcPr>
          <w:p w14:paraId="317C8DB3">
            <w:pPr>
              <w:jc w:val="center"/>
              <w:rPr>
                <w:rFonts w:hint="default"/>
                <w:vertAlign w:val="baseline"/>
                <w:lang w:val="en-US" w:eastAsia="zh-CN"/>
              </w:rPr>
            </w:pPr>
          </w:p>
        </w:tc>
        <w:tc>
          <w:tcPr>
            <w:tcW w:w="750" w:type="dxa"/>
            <w:shd w:val="clear" w:color="auto" w:fill="auto"/>
            <w:vAlign w:val="center"/>
          </w:tcPr>
          <w:p w14:paraId="5375D21B">
            <w:pPr>
              <w:keepNext w:val="0"/>
              <w:keepLines w:val="0"/>
              <w:widowControl/>
              <w:suppressLineNumbers w:val="0"/>
              <w:jc w:val="center"/>
              <w:textAlignment w:val="center"/>
              <w:rPr>
                <w:rFonts w:hint="default"/>
                <w:vertAlign w:val="baseline"/>
                <w:lang w:val="en-US" w:eastAsia="zh-CN"/>
              </w:rPr>
            </w:pPr>
          </w:p>
        </w:tc>
        <w:tc>
          <w:tcPr>
            <w:tcW w:w="915" w:type="dxa"/>
            <w:vAlign w:val="center"/>
          </w:tcPr>
          <w:p w14:paraId="35A66DCF">
            <w:pPr>
              <w:keepNext w:val="0"/>
              <w:keepLines w:val="0"/>
              <w:widowControl/>
              <w:suppressLineNumbers w:val="0"/>
              <w:jc w:val="center"/>
              <w:textAlignment w:val="center"/>
              <w:rPr>
                <w:rFonts w:hint="default"/>
                <w:vertAlign w:val="baseline"/>
                <w:lang w:val="en-US" w:eastAsia="zh-CN"/>
              </w:rPr>
            </w:pPr>
          </w:p>
        </w:tc>
        <w:tc>
          <w:tcPr>
            <w:tcW w:w="1575" w:type="dxa"/>
            <w:shd w:val="clear" w:color="auto" w:fill="auto"/>
            <w:vAlign w:val="center"/>
          </w:tcPr>
          <w:p w14:paraId="356853AA">
            <w:pPr>
              <w:keepNext w:val="0"/>
              <w:keepLines w:val="0"/>
              <w:widowControl/>
              <w:suppressLineNumbers w:val="0"/>
              <w:jc w:val="center"/>
              <w:textAlignment w:val="center"/>
              <w:rPr>
                <w:rFonts w:hint="default"/>
                <w:vertAlign w:val="baseline"/>
                <w:lang w:val="en-US" w:eastAsia="zh-CN"/>
              </w:rPr>
            </w:pPr>
          </w:p>
        </w:tc>
        <w:tc>
          <w:tcPr>
            <w:tcW w:w="1590" w:type="dxa"/>
            <w:shd w:val="clear" w:color="auto" w:fill="auto"/>
            <w:vAlign w:val="center"/>
          </w:tcPr>
          <w:p w14:paraId="75205A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cs="Times New Roman"/>
                <w:i w:val="0"/>
                <w:iCs w:val="0"/>
                <w:color w:val="000000"/>
                <w:kern w:val="2"/>
                <w:sz w:val="21"/>
                <w:szCs w:val="21"/>
                <w:u w:val="none"/>
                <w:lang w:val="en-US" w:eastAsia="zh-CN" w:bidi="ar-SA"/>
              </w:rPr>
              <w:t>330792</w:t>
            </w:r>
          </w:p>
        </w:tc>
        <w:tc>
          <w:tcPr>
            <w:tcW w:w="1530" w:type="dxa"/>
            <w:vAlign w:val="center"/>
          </w:tcPr>
          <w:p w14:paraId="629E1A63">
            <w:pPr>
              <w:jc w:val="center"/>
              <w:rPr>
                <w:rFonts w:hint="default"/>
                <w:vertAlign w:val="baseline"/>
                <w:lang w:val="en-US" w:eastAsia="zh-CN"/>
              </w:rPr>
            </w:pPr>
          </w:p>
        </w:tc>
      </w:tr>
    </w:tbl>
    <w:p w14:paraId="620F7424">
      <w:pPr>
        <w:numPr>
          <w:ilvl w:val="0"/>
          <w:numId w:val="0"/>
        </w:numPr>
        <w:autoSpaceDE w:val="0"/>
        <w:autoSpaceDN w:val="0"/>
        <w:adjustRightInd w:val="0"/>
        <w:snapToGrid w:val="0"/>
        <w:spacing w:line="480" w:lineRule="exact"/>
        <w:ind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3、结算方式：中标材料单价（含13%税）*对应材料数量=结算总价（含13%税）</w:t>
      </w:r>
    </w:p>
    <w:p w14:paraId="6EC04251">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4、技术参数：</w:t>
      </w:r>
    </w:p>
    <w:p w14:paraId="686B6BB9">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1、景观装饰护栏采用铝合金型材与板材组合拼装完成，材质采用6063-T5,相关材料物理性能均需满足国家相关规范要求。</w:t>
      </w:r>
    </w:p>
    <w:p w14:paraId="08328086">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2、风凰采用2.0mm摩铝合金板材加工，要求完成后的景观浮雕层次分明，衔接曲线自然平滑。</w:t>
      </w:r>
    </w:p>
    <w:p w14:paraId="52F99BE1">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3、护栏整体造型考虑多种颜色搭配使用，生动体现景观造型与层次，提升桥梁观赏性与景观性。</w:t>
      </w:r>
    </w:p>
    <w:p w14:paraId="7F6233BD">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4、景观护栏立杆竖向净间距不得大于11cm,护栏整体固定于桥梁侧边，不占用通行空间的同时展示了相关主题和文化，护栏底部设置钢横梁，确保结构整体稳定性与安全性。</w:t>
      </w:r>
    </w:p>
    <w:p w14:paraId="61FD0B9B">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5、景观护栏设置灯光夜景，风凰造型轮廊与云纹浮雕暗藏灯带，风冠等局部位置设置点光源，严格做到见光不见灯的要求，并且需进行防眩光实验，照亮行人的同时提升夜间景观效果。</w:t>
      </w:r>
    </w:p>
    <w:p w14:paraId="31C7F104">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6、伸缩缝处设置双立柱。预留出足够的伸缩空间。</w:t>
      </w:r>
    </w:p>
    <w:p w14:paraId="2EAB0B72">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7、本次栏杆防护总高度从人行道顶面至扶手顶面不小于1,1m。</w:t>
      </w:r>
    </w:p>
    <w:p w14:paraId="6233FCE3">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8、作用在桥上人行道栏杆扶手上的竖向荷载应为1.2KN/m:水平荷载应为2.5KN/m。</w:t>
      </w:r>
    </w:p>
    <w:p w14:paraId="11F638AA">
      <w:pPr>
        <w:numPr>
          <w:ilvl w:val="0"/>
          <w:numId w:val="0"/>
        </w:numPr>
        <w:autoSpaceDE w:val="0"/>
        <w:autoSpaceDN w:val="0"/>
        <w:adjustRightInd w:val="0"/>
        <w:snapToGrid w:val="0"/>
        <w:spacing w:line="480" w:lineRule="exact"/>
        <w:ind w:leftChars="0" w:firstLine="420" w:firstLineChars="200"/>
        <w:rPr>
          <w:rFonts w:hint="eastAsia" w:ascii="宋体" w:hAnsi="宋体"/>
          <w:color w:val="FF0000"/>
          <w:szCs w:val="21"/>
          <w:lang w:val="en-US" w:eastAsia="zh-CN"/>
        </w:rPr>
      </w:pPr>
      <w:r>
        <w:rPr>
          <w:rFonts w:hint="eastAsia" w:ascii="宋体" w:hAnsi="宋体"/>
          <w:color w:val="FF0000"/>
          <w:szCs w:val="21"/>
          <w:lang w:val="en-US" w:eastAsia="zh-CN"/>
        </w:rPr>
        <w:t>9、投标单位需根据现场实际情况进行二次深化，经甲方审核确认后方可进行生产加工。</w:t>
      </w:r>
    </w:p>
    <w:p w14:paraId="3099652B">
      <w:pPr>
        <w:numPr>
          <w:ilvl w:val="0"/>
          <w:numId w:val="0"/>
        </w:numPr>
        <w:autoSpaceDE w:val="0"/>
        <w:autoSpaceDN w:val="0"/>
        <w:adjustRightInd w:val="0"/>
        <w:snapToGrid w:val="0"/>
        <w:spacing w:line="480" w:lineRule="exact"/>
        <w:ind w:leftChars="0" w:firstLine="420" w:firstLineChars="200"/>
        <w:rPr>
          <w:rFonts w:hint="default" w:ascii="宋体" w:hAnsi="宋体"/>
          <w:color w:val="FF0000"/>
          <w:szCs w:val="21"/>
          <w:lang w:val="en-US" w:eastAsia="zh-CN"/>
        </w:rPr>
      </w:pPr>
      <w:r>
        <w:rPr>
          <w:rFonts w:hint="eastAsia" w:ascii="宋体" w:hAnsi="宋体"/>
          <w:color w:val="FF0000"/>
          <w:szCs w:val="21"/>
          <w:lang w:val="en-US" w:eastAsia="zh-CN"/>
        </w:rPr>
        <w:t>10、具体技术参数详见图纸。</w:t>
      </w:r>
    </w:p>
    <w:p w14:paraId="6D8B942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三、投标须知：</w:t>
      </w:r>
    </w:p>
    <w:p w14:paraId="63BF5298">
      <w:pPr>
        <w:autoSpaceDE w:val="0"/>
        <w:autoSpaceDN w:val="0"/>
        <w:adjustRightInd w:val="0"/>
        <w:snapToGrid w:val="0"/>
        <w:spacing w:line="480" w:lineRule="exact"/>
        <w:ind w:firstLine="561"/>
        <w:rPr>
          <w:rFonts w:hint="eastAsia" w:ascii="宋体" w:hAnsi="宋体"/>
          <w:szCs w:val="21"/>
        </w:rPr>
      </w:pPr>
      <w:r>
        <w:rPr>
          <w:rFonts w:hint="eastAsia" w:ascii="宋体" w:hAnsi="宋体"/>
          <w:szCs w:val="21"/>
        </w:rPr>
        <w:t>1、投标文件正本一份</w:t>
      </w:r>
      <w:r>
        <w:rPr>
          <w:rFonts w:hint="eastAsia" w:ascii="宋体" w:hAnsi="宋体"/>
          <w:szCs w:val="21"/>
          <w:lang w:eastAsia="zh-CN"/>
        </w:rPr>
        <w:t>，</w:t>
      </w:r>
      <w:r>
        <w:rPr>
          <w:rFonts w:hint="eastAsia" w:ascii="宋体" w:hAnsi="宋体"/>
          <w:szCs w:val="21"/>
        </w:rPr>
        <w:t>正本必须用不能擦去的墨水书写或打印，正本应装订成册。</w:t>
      </w:r>
    </w:p>
    <w:p w14:paraId="5953615E">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2、投标单位固定单价</w:t>
      </w:r>
      <w:r>
        <w:rPr>
          <w:rFonts w:hint="eastAsia" w:ascii="宋体" w:hAnsi="宋体"/>
          <w:szCs w:val="21"/>
          <w:lang w:val="en-US" w:eastAsia="zh-CN"/>
        </w:rPr>
        <w:t>及总价</w:t>
      </w:r>
      <w:r>
        <w:rPr>
          <w:rFonts w:hint="eastAsia" w:ascii="宋体" w:hAnsi="宋体"/>
          <w:szCs w:val="21"/>
        </w:rPr>
        <w:t>报价</w:t>
      </w:r>
      <w:r>
        <w:rPr>
          <w:rFonts w:hint="eastAsia" w:ascii="宋体" w:hAnsi="宋体"/>
          <w:szCs w:val="21"/>
          <w:lang w:eastAsia="zh-CN"/>
        </w:rPr>
        <w:t>，</w:t>
      </w:r>
      <w:r>
        <w:rPr>
          <w:rFonts w:hint="eastAsia" w:ascii="宋体" w:hAnsi="宋体"/>
          <w:szCs w:val="21"/>
          <w:lang w:val="en-US" w:eastAsia="zh-CN"/>
        </w:rPr>
        <w:t>投标价格为材料送达招标方指定地点的价格，</w:t>
      </w:r>
      <w:r>
        <w:rPr>
          <w:rFonts w:hint="eastAsia" w:ascii="宋体" w:hAnsi="宋体"/>
          <w:color w:val="FF0000"/>
          <w:szCs w:val="21"/>
          <w:lang w:val="en-US" w:eastAsia="zh-CN"/>
        </w:rPr>
        <w:t>报价含运费、安装、预埋件，灯光效果、卸货费用，</w:t>
      </w:r>
      <w:r>
        <w:rPr>
          <w:rFonts w:hint="eastAsia" w:ascii="宋体" w:hAnsi="宋体"/>
          <w:szCs w:val="21"/>
          <w:lang w:val="en-US" w:eastAsia="zh-CN"/>
        </w:rPr>
        <w:t>须提供投标书及报价清单</w:t>
      </w:r>
      <w:r>
        <w:rPr>
          <w:rFonts w:hint="eastAsia" w:ascii="宋体" w:hAnsi="宋体"/>
          <w:szCs w:val="21"/>
        </w:rPr>
        <w:t>。</w:t>
      </w:r>
    </w:p>
    <w:p w14:paraId="77150B32">
      <w:pPr>
        <w:autoSpaceDE w:val="0"/>
        <w:autoSpaceDN w:val="0"/>
        <w:adjustRightInd w:val="0"/>
        <w:snapToGrid w:val="0"/>
        <w:spacing w:line="480" w:lineRule="exact"/>
        <w:ind w:left="525" w:leftChars="250" w:firstLine="35" w:firstLineChars="17"/>
        <w:rPr>
          <w:rFonts w:hint="eastAsia" w:ascii="宋体" w:hAnsi="宋体"/>
          <w:szCs w:val="21"/>
        </w:rPr>
      </w:pPr>
      <w:r>
        <w:rPr>
          <w:rFonts w:hint="eastAsia" w:ascii="宋体" w:hAnsi="宋体"/>
          <w:szCs w:val="21"/>
        </w:rPr>
        <w:t>3、投标单位须具有独立法人资格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2CC5AE12">
      <w:pPr>
        <w:autoSpaceDE w:val="0"/>
        <w:autoSpaceDN w:val="0"/>
        <w:adjustRightInd w:val="0"/>
        <w:snapToGrid w:val="0"/>
        <w:spacing w:line="480" w:lineRule="exact"/>
        <w:ind w:firstLine="561"/>
        <w:rPr>
          <w:rFonts w:hint="eastAsia" w:ascii="宋体" w:hAnsi="宋体"/>
          <w:szCs w:val="21"/>
          <w:lang w:val="en-US" w:eastAsia="zh-CN"/>
        </w:rPr>
      </w:pPr>
      <w:r>
        <w:rPr>
          <w:rFonts w:hint="eastAsia" w:ascii="宋体" w:hAnsi="宋体"/>
          <w:szCs w:val="21"/>
        </w:rPr>
        <w:t>4、</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eastAsia="zh-CN"/>
        </w:rPr>
        <w:t>。</w:t>
      </w:r>
    </w:p>
    <w:p w14:paraId="55A40178">
      <w:pPr>
        <w:pStyle w:val="19"/>
        <w:spacing w:before="0" w:beforeAutospacing="0" w:after="0" w:afterAutospacing="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 xml:space="preserve"> 5、投标单位须提供1份近3年</w:t>
      </w:r>
      <w:r>
        <w:rPr>
          <w:rFonts w:hint="eastAsia" w:ascii="宋体" w:hAnsi="宋体" w:eastAsia="宋体" w:cs="Times New Roman"/>
          <w:b w:val="0"/>
          <w:color w:val="FF0000"/>
          <w:kern w:val="2"/>
          <w:sz w:val="21"/>
          <w:szCs w:val="21"/>
          <w:lang w:val="en-US" w:eastAsia="zh-CN" w:bidi="ar-SA"/>
        </w:rPr>
        <w:t>金属栏杆</w:t>
      </w:r>
      <w:r>
        <w:rPr>
          <w:rFonts w:hint="eastAsia" w:ascii="宋体" w:hAnsi="宋体" w:eastAsia="宋体" w:cs="Times New Roman"/>
          <w:b w:val="0"/>
          <w:kern w:val="2"/>
          <w:sz w:val="21"/>
          <w:szCs w:val="21"/>
          <w:lang w:val="en-US" w:eastAsia="zh-CN" w:bidi="ar-SA"/>
        </w:rPr>
        <w:t>材料供货业绩（合同金额17万元及以上），提供合同和发票复印件加盖公章，评标委员会会根据投标方提供的发票号码，在国家税务总局全国增值税发票查询平台进行核实，如发现一次虚假将作为废标处理”。</w:t>
      </w:r>
    </w:p>
    <w:p w14:paraId="40CD30AA">
      <w:pPr>
        <w:autoSpaceDE w:val="0"/>
        <w:autoSpaceDN w:val="0"/>
        <w:adjustRightInd w:val="0"/>
        <w:snapToGrid w:val="0"/>
        <w:spacing w:beforeAutospacing="0" w:line="480" w:lineRule="exact"/>
        <w:ind w:firstLine="630" w:firstLineChars="300"/>
        <w:rPr>
          <w:rFonts w:hint="default" w:ascii="宋体" w:hAnsi="宋体" w:eastAsia="宋体"/>
          <w:szCs w:val="21"/>
          <w:lang w:val="en-US" w:eastAsia="zh-CN"/>
        </w:rPr>
      </w:pPr>
      <w:r>
        <w:rPr>
          <w:rFonts w:hint="eastAsia" w:ascii="宋体" w:hAnsi="宋体"/>
          <w:szCs w:val="21"/>
          <w:lang w:val="en-US" w:eastAsia="zh-CN"/>
        </w:rPr>
        <w:t>6、投标单位须提供质量承诺书。</w:t>
      </w:r>
    </w:p>
    <w:p w14:paraId="11DC2975">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投标单位须</w:t>
      </w:r>
      <w:r>
        <w:rPr>
          <w:rFonts w:hint="eastAsia" w:ascii="宋体" w:hAnsi="宋体"/>
          <w:szCs w:val="21"/>
          <w:lang w:val="en-US" w:eastAsia="zh-CN"/>
        </w:rPr>
        <w:t>提供一般纳税人证明。</w:t>
      </w:r>
    </w:p>
    <w:p w14:paraId="64C2FC41">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8</w:t>
      </w:r>
      <w:r>
        <w:rPr>
          <w:rFonts w:hint="eastAsia" w:ascii="宋体" w:hAnsi="宋体"/>
          <w:szCs w:val="21"/>
        </w:rPr>
        <w:t>、包装要求：</w:t>
      </w:r>
    </w:p>
    <w:p w14:paraId="7FECAD8D">
      <w:pPr>
        <w:autoSpaceDE w:val="0"/>
        <w:autoSpaceDN w:val="0"/>
        <w:adjustRightInd w:val="0"/>
        <w:snapToGrid w:val="0"/>
        <w:spacing w:line="480" w:lineRule="exact"/>
        <w:ind w:firstLine="420" w:firstLineChars="200"/>
        <w:rPr>
          <w:rFonts w:hint="eastAsia" w:ascii="宋体" w:hAnsi="宋体"/>
          <w:szCs w:val="21"/>
        </w:rPr>
      </w:pPr>
      <w:r>
        <w:rPr>
          <w:rFonts w:hint="eastAsia" w:ascii="宋体" w:hAnsi="宋体"/>
          <w:szCs w:val="21"/>
        </w:rPr>
        <w:t>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固定单价</w:t>
      </w:r>
      <w:r>
        <w:rPr>
          <w:rFonts w:hint="eastAsia" w:ascii="宋体" w:hAnsi="宋体" w:cs="宋体"/>
          <w:color w:val="FF0000"/>
          <w:szCs w:val="21"/>
          <w:u w:val="single"/>
          <w:shd w:val="clear" w:color="auto" w:fill="FFFFFF"/>
        </w:rPr>
        <w:t xml:space="preserve"> </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FF0000"/>
          <w:sz w:val="21"/>
          <w:szCs w:val="21"/>
          <w:shd w:val="clear" w:color="auto" w:fill="FFFFFF"/>
        </w:rPr>
        <w:t>本次招标确定一家供应商为中标单位。</w:t>
      </w:r>
    </w:p>
    <w:p w14:paraId="4EB5281E">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①</w:t>
      </w:r>
      <w:r>
        <w:rPr>
          <w:rFonts w:hint="eastAsia" w:ascii="宋体" w:hAnsi="宋体"/>
          <w:color w:val="FF0000"/>
          <w:szCs w:val="21"/>
        </w:rPr>
        <w:t>产品名称、数量（按实际结算）、单价（含运费</w:t>
      </w:r>
      <w:r>
        <w:rPr>
          <w:rFonts w:hint="eastAsia" w:ascii="宋体" w:hAnsi="宋体"/>
          <w:color w:val="FF0000"/>
          <w:szCs w:val="21"/>
          <w:lang w:eastAsia="zh-CN"/>
        </w:rPr>
        <w:t>、</w:t>
      </w:r>
      <w:r>
        <w:rPr>
          <w:rFonts w:hint="eastAsia" w:ascii="宋体" w:hAnsi="宋体"/>
          <w:color w:val="FF0000"/>
          <w:szCs w:val="21"/>
          <w:lang w:val="en-US" w:eastAsia="zh-CN"/>
        </w:rPr>
        <w:t>卸货费用</w:t>
      </w:r>
      <w:r>
        <w:rPr>
          <w:rFonts w:hint="eastAsia" w:ascii="宋体" w:hAnsi="宋体"/>
          <w:color w:val="FF0000"/>
          <w:szCs w:val="21"/>
        </w:rPr>
        <w:t>）、供货时间</w:t>
      </w:r>
      <w:r>
        <w:rPr>
          <w:rFonts w:hint="eastAsia" w:ascii="宋体" w:hAnsi="宋体"/>
          <w:color w:val="000000"/>
          <w:szCs w:val="21"/>
        </w:rPr>
        <w:t>。</w:t>
      </w:r>
    </w:p>
    <w:p w14:paraId="7C1AD7E4">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②</w:t>
      </w:r>
      <w:r>
        <w:rPr>
          <w:rFonts w:hint="eastAsia" w:ascii="宋体" w:hAnsi="宋体"/>
          <w:color w:val="FF0000"/>
          <w:szCs w:val="21"/>
        </w:rPr>
        <w:t>供货方对质量负责的条件和期限</w:t>
      </w:r>
      <w:r>
        <w:rPr>
          <w:rFonts w:hint="eastAsia" w:ascii="宋体" w:hAnsi="宋体"/>
          <w:color w:val="000000"/>
          <w:szCs w:val="21"/>
        </w:rPr>
        <w:t>。</w:t>
      </w:r>
    </w:p>
    <w:p w14:paraId="27C96119">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③交货地点、方式（按需方要求分期分批运至扬州市上善建设工程有限公司指定地点）。</w:t>
      </w:r>
    </w:p>
    <w:p w14:paraId="539EA68E">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000000"/>
          <w:szCs w:val="21"/>
        </w:rPr>
      </w:pPr>
      <w:r>
        <w:rPr>
          <w:rFonts w:hint="eastAsia" w:ascii="宋体" w:hAnsi="宋体"/>
          <w:color w:val="000000"/>
          <w:szCs w:val="21"/>
        </w:rPr>
        <w:t>⑥</w:t>
      </w:r>
      <w:r>
        <w:rPr>
          <w:rFonts w:hint="eastAsia" w:ascii="宋体" w:hAnsi="宋体"/>
          <w:color w:val="FF0000"/>
          <w:szCs w:val="21"/>
        </w:rPr>
        <w:t>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eastAsia="宋体"/>
          <w:color w:val="FF0000"/>
          <w:szCs w:val="21"/>
          <w:lang w:val="en-US" w:eastAsia="zh-CN"/>
        </w:rPr>
      </w:pPr>
      <w:r>
        <w:rPr>
          <w:rFonts w:hint="eastAsia" w:ascii="宋体" w:hAnsi="宋体"/>
          <w:color w:val="000000"/>
          <w:szCs w:val="21"/>
        </w:rPr>
        <w:t>⑦</w:t>
      </w:r>
      <w:r>
        <w:rPr>
          <w:rFonts w:hint="eastAsia" w:ascii="宋体" w:hAnsi="宋体"/>
          <w:color w:val="000000"/>
          <w:szCs w:val="21"/>
          <w:lang w:eastAsia="zh-CN"/>
        </w:rPr>
        <w:t>付款方式</w:t>
      </w:r>
      <w:r>
        <w:rPr>
          <w:rFonts w:hint="eastAsia" w:ascii="宋体" w:hAnsi="宋体"/>
          <w:color w:val="000000"/>
          <w:szCs w:val="21"/>
        </w:rPr>
        <w:t>：</w:t>
      </w:r>
      <w:r>
        <w:rPr>
          <w:rFonts w:hint="eastAsia" w:ascii="宋体" w:hAnsi="宋体"/>
          <w:color w:val="000000"/>
          <w:szCs w:val="21"/>
          <w:lang w:val="en-US" w:eastAsia="zh-CN"/>
        </w:rPr>
        <w:t>工程竣工验收合格后付至实际供货款的60%（不超过合同价的60%），工程完成外审付至实际供货量的70%（不超过合同价的70%），工程完成财审或扬州市审计局专项审计付至财审价或专项审计结果的97%，二年质保期满后，付清尾款（无息）。</w:t>
      </w:r>
    </w:p>
    <w:p w14:paraId="30B9173B">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⑧违约责任。</w:t>
      </w:r>
    </w:p>
    <w:p w14:paraId="00CA73D2">
      <w:pPr>
        <w:autoSpaceDE w:val="0"/>
        <w:autoSpaceDN w:val="0"/>
        <w:adjustRightInd w:val="0"/>
        <w:snapToGrid w:val="0"/>
        <w:spacing w:line="480" w:lineRule="exact"/>
        <w:ind w:firstLine="525" w:firstLineChars="250"/>
        <w:rPr>
          <w:rFonts w:ascii="宋体" w:hAnsi="宋体"/>
          <w:color w:val="000000"/>
          <w:szCs w:val="21"/>
        </w:rPr>
      </w:pPr>
      <w:r>
        <w:rPr>
          <w:rFonts w:hint="eastAsia" w:ascii="宋体" w:hAnsi="宋体"/>
          <w:color w:val="000000"/>
          <w:szCs w:val="21"/>
        </w:rPr>
        <w:t>⑨解决合同纠纷的方式：因履行本合同发生争议，如当事人协商不成，由</w:t>
      </w:r>
    </w:p>
    <w:p w14:paraId="08917B86">
      <w:pPr>
        <w:autoSpaceDE w:val="0"/>
        <w:autoSpaceDN w:val="0"/>
        <w:adjustRightInd w:val="0"/>
        <w:snapToGrid w:val="0"/>
        <w:spacing w:line="480" w:lineRule="exact"/>
        <w:ind w:firstLine="665" w:firstLineChars="317"/>
        <w:rPr>
          <w:rFonts w:ascii="宋体" w:hAnsi="宋体"/>
          <w:color w:val="000000"/>
          <w:szCs w:val="21"/>
        </w:rPr>
      </w:pPr>
      <w:r>
        <w:rPr>
          <w:rFonts w:hint="eastAsia" w:ascii="宋体" w:hAnsi="宋体"/>
          <w:color w:val="000000"/>
          <w:szCs w:val="21"/>
        </w:rPr>
        <w:t>（一）提交仲裁委员会。（二）起诉至当地法院裁决。</w:t>
      </w:r>
    </w:p>
    <w:p w14:paraId="7BB95F07">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rPr>
        <w:t>⑩其他约定事项。</w:t>
      </w:r>
    </w:p>
    <w:p w14:paraId="34D97EC6">
      <w:pPr>
        <w:autoSpaceDE w:val="0"/>
        <w:autoSpaceDN w:val="0"/>
        <w:adjustRightInd w:val="0"/>
        <w:snapToGrid w:val="0"/>
        <w:spacing w:line="480" w:lineRule="exact"/>
        <w:ind w:firstLine="561"/>
        <w:rPr>
          <w:rFonts w:hint="eastAsia" w:ascii="宋体" w:hAnsi="宋体"/>
          <w:color w:val="000000"/>
          <w:szCs w:val="21"/>
        </w:rPr>
      </w:pPr>
    </w:p>
    <w:p w14:paraId="327F4F1E">
      <w:pPr>
        <w:autoSpaceDE w:val="0"/>
        <w:autoSpaceDN w:val="0"/>
        <w:adjustRightInd w:val="0"/>
        <w:snapToGrid w:val="0"/>
        <w:spacing w:line="480" w:lineRule="exact"/>
        <w:ind w:firstLine="561"/>
        <w:rPr>
          <w:rFonts w:hint="eastAsia" w:ascii="宋体" w:hAnsi="宋体"/>
          <w:color w:val="000000"/>
          <w:szCs w:val="21"/>
        </w:rPr>
      </w:pPr>
    </w:p>
    <w:p w14:paraId="33F0232C">
      <w:pPr>
        <w:autoSpaceDE w:val="0"/>
        <w:autoSpaceDN w:val="0"/>
        <w:adjustRightInd w:val="0"/>
        <w:snapToGrid w:val="0"/>
        <w:spacing w:line="480" w:lineRule="exact"/>
        <w:ind w:firstLine="561"/>
        <w:rPr>
          <w:rFonts w:hint="eastAsia" w:ascii="宋体" w:hAnsi="宋体"/>
          <w:color w:val="000000"/>
          <w:szCs w:val="21"/>
        </w:rPr>
      </w:pPr>
    </w:p>
    <w:p w14:paraId="6CF39CBF">
      <w:pPr>
        <w:autoSpaceDE w:val="0"/>
        <w:autoSpaceDN w:val="0"/>
        <w:adjustRightInd w:val="0"/>
        <w:snapToGrid w:val="0"/>
        <w:spacing w:line="480" w:lineRule="exact"/>
        <w:ind w:firstLine="561"/>
        <w:rPr>
          <w:rFonts w:hint="eastAsia" w:ascii="宋体" w:hAnsi="宋体"/>
          <w:color w:val="000000"/>
          <w:szCs w:val="21"/>
        </w:rPr>
      </w:pPr>
    </w:p>
    <w:p w14:paraId="0F671F2E">
      <w:pPr>
        <w:autoSpaceDE w:val="0"/>
        <w:autoSpaceDN w:val="0"/>
        <w:adjustRightInd w:val="0"/>
        <w:snapToGrid w:val="0"/>
        <w:spacing w:line="480" w:lineRule="exact"/>
        <w:ind w:firstLine="561"/>
        <w:rPr>
          <w:rFonts w:hint="eastAsia" w:ascii="宋体" w:hAnsi="宋体"/>
          <w:color w:val="000000"/>
          <w:szCs w:val="21"/>
        </w:rPr>
      </w:pPr>
    </w:p>
    <w:p w14:paraId="15B382D1">
      <w:pPr>
        <w:autoSpaceDE w:val="0"/>
        <w:autoSpaceDN w:val="0"/>
        <w:adjustRightInd w:val="0"/>
        <w:snapToGrid w:val="0"/>
        <w:spacing w:line="480" w:lineRule="exact"/>
        <w:ind w:firstLine="561"/>
        <w:rPr>
          <w:rFonts w:hint="eastAsia" w:ascii="宋体" w:hAnsi="宋体"/>
          <w:color w:val="000000"/>
          <w:szCs w:val="21"/>
        </w:rPr>
      </w:pPr>
    </w:p>
    <w:p w14:paraId="713F466C">
      <w:pPr>
        <w:autoSpaceDE w:val="0"/>
        <w:autoSpaceDN w:val="0"/>
        <w:adjustRightInd w:val="0"/>
        <w:snapToGrid w:val="0"/>
        <w:spacing w:line="480" w:lineRule="exact"/>
        <w:ind w:firstLine="561"/>
        <w:rPr>
          <w:rFonts w:hint="eastAsia" w:ascii="宋体" w:hAnsi="宋体"/>
          <w:color w:val="000000"/>
          <w:szCs w:val="21"/>
        </w:rPr>
      </w:pPr>
    </w:p>
    <w:p w14:paraId="30760722">
      <w:pPr>
        <w:autoSpaceDE w:val="0"/>
        <w:autoSpaceDN w:val="0"/>
        <w:adjustRightInd w:val="0"/>
        <w:snapToGrid w:val="0"/>
        <w:spacing w:line="480" w:lineRule="exact"/>
        <w:ind w:firstLine="561"/>
        <w:rPr>
          <w:rFonts w:hint="eastAsia" w:ascii="宋体" w:hAnsi="宋体"/>
          <w:color w:val="000000"/>
          <w:szCs w:val="21"/>
        </w:rPr>
      </w:pPr>
    </w:p>
    <w:p w14:paraId="08C1C43D">
      <w:pPr>
        <w:autoSpaceDE w:val="0"/>
        <w:autoSpaceDN w:val="0"/>
        <w:adjustRightInd w:val="0"/>
        <w:snapToGrid w:val="0"/>
        <w:spacing w:line="480" w:lineRule="exact"/>
        <w:ind w:firstLine="561"/>
        <w:rPr>
          <w:rFonts w:hint="eastAsia" w:ascii="宋体" w:hAnsi="宋体"/>
          <w:color w:val="000000"/>
          <w:szCs w:val="21"/>
        </w:rPr>
      </w:pPr>
    </w:p>
    <w:p w14:paraId="35589850">
      <w:pPr>
        <w:autoSpaceDE w:val="0"/>
        <w:autoSpaceDN w:val="0"/>
        <w:adjustRightInd w:val="0"/>
        <w:snapToGrid w:val="0"/>
        <w:spacing w:line="480" w:lineRule="exact"/>
        <w:ind w:firstLine="561"/>
        <w:rPr>
          <w:rFonts w:hint="eastAsia" w:ascii="宋体" w:hAnsi="宋体"/>
          <w:color w:val="000000"/>
          <w:szCs w:val="21"/>
        </w:rPr>
      </w:pPr>
    </w:p>
    <w:p w14:paraId="0E6AEC1C">
      <w:pPr>
        <w:autoSpaceDE w:val="0"/>
        <w:autoSpaceDN w:val="0"/>
        <w:adjustRightInd w:val="0"/>
        <w:snapToGrid w:val="0"/>
        <w:spacing w:line="480" w:lineRule="exact"/>
        <w:ind w:firstLine="561"/>
        <w:rPr>
          <w:rFonts w:hint="eastAsia" w:ascii="宋体" w:hAnsi="宋体"/>
          <w:color w:val="000000"/>
          <w:szCs w:val="21"/>
        </w:rPr>
      </w:pPr>
    </w:p>
    <w:p w14:paraId="1A93CDD9">
      <w:pPr>
        <w:autoSpaceDE w:val="0"/>
        <w:autoSpaceDN w:val="0"/>
        <w:adjustRightInd w:val="0"/>
        <w:snapToGrid w:val="0"/>
        <w:spacing w:line="480" w:lineRule="exact"/>
        <w:ind w:firstLine="561"/>
        <w:rPr>
          <w:rFonts w:hint="eastAsia" w:ascii="宋体" w:hAnsi="宋体"/>
          <w:color w:val="000000"/>
          <w:szCs w:val="21"/>
        </w:rPr>
      </w:pPr>
    </w:p>
    <w:p w14:paraId="3465C936">
      <w:pPr>
        <w:autoSpaceDE w:val="0"/>
        <w:autoSpaceDN w:val="0"/>
        <w:adjustRightInd w:val="0"/>
        <w:snapToGrid w:val="0"/>
        <w:spacing w:line="480" w:lineRule="exact"/>
        <w:ind w:firstLine="561"/>
        <w:rPr>
          <w:rFonts w:hint="eastAsia" w:ascii="宋体" w:hAnsi="宋体"/>
          <w:color w:val="000000"/>
          <w:szCs w:val="21"/>
        </w:rPr>
      </w:pPr>
    </w:p>
    <w:p w14:paraId="5B5D9715">
      <w:pPr>
        <w:autoSpaceDE w:val="0"/>
        <w:autoSpaceDN w:val="0"/>
        <w:adjustRightInd w:val="0"/>
        <w:snapToGrid w:val="0"/>
        <w:spacing w:line="480" w:lineRule="exact"/>
        <w:ind w:firstLine="561"/>
        <w:rPr>
          <w:rFonts w:hint="eastAsia" w:ascii="宋体" w:hAnsi="宋体"/>
          <w:color w:val="000000"/>
          <w:szCs w:val="21"/>
        </w:rPr>
      </w:pPr>
    </w:p>
    <w:p w14:paraId="7A12F94B">
      <w:pPr>
        <w:autoSpaceDE w:val="0"/>
        <w:autoSpaceDN w:val="0"/>
        <w:adjustRightInd w:val="0"/>
        <w:snapToGrid w:val="0"/>
        <w:spacing w:line="480" w:lineRule="exact"/>
        <w:rPr>
          <w:rFonts w:hint="eastAsia" w:ascii="宋体" w:hAnsi="宋体"/>
          <w:color w:val="000000"/>
          <w:szCs w:val="21"/>
        </w:rPr>
      </w:pPr>
    </w:p>
    <w:p w14:paraId="311FD649">
      <w:pPr>
        <w:pStyle w:val="20"/>
        <w:rPr>
          <w:rFonts w:hint="eastAsia"/>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19"/>
        <w:rPr>
          <w:rFonts w:hint="eastAsia"/>
          <w:lang w:eastAsia="zh-CN"/>
        </w:rPr>
      </w:pPr>
    </w:p>
    <w:p w14:paraId="22FFDF3C">
      <w:pPr>
        <w:pStyle w:val="20"/>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19"/>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19"/>
        <w:rPr>
          <w:rFonts w:hint="eastAsia"/>
          <w:lang w:eastAsia="zh-CN"/>
        </w:rPr>
      </w:pPr>
    </w:p>
    <w:p w14:paraId="5B265947">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19"/>
        <w:rPr>
          <w:rFonts w:hint="eastAsia"/>
        </w:rPr>
      </w:pPr>
    </w:p>
    <w:p w14:paraId="4C59DDD4">
      <w:pPr>
        <w:pStyle w:val="20"/>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val="en-US"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w:t>
            </w:r>
            <w:r>
              <w:rPr>
                <w:rFonts w:hint="eastAsia" w:ascii="宋体" w:hAnsi="宋体"/>
                <w:color w:val="000000"/>
                <w:sz w:val="24"/>
                <w:lang w:val="en-US" w:eastAsia="zh-CN"/>
              </w:rPr>
              <w:t>含13%税</w:t>
            </w:r>
            <w:r>
              <w:rPr>
                <w:rFonts w:hint="eastAsia" w:ascii="宋体" w:hAnsi="宋体"/>
                <w:color w:val="000000"/>
                <w:sz w:val="24"/>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0605B168">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扬州上善建设工程有限公司</w:t>
      </w:r>
      <w:r>
        <w:rPr>
          <w:rFonts w:hint="eastAsia" w:asciiTheme="minorEastAsia" w:hAnsiTheme="minorEastAsia" w:eastAsiaTheme="minorEastAsia" w:cstheme="minorEastAsia"/>
          <w:sz w:val="24"/>
          <w:szCs w:val="24"/>
        </w:rPr>
        <w:t>：</w:t>
      </w:r>
    </w:p>
    <w:p w14:paraId="2721A2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就扬州上善建设工程有限公司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14:paraId="6CCB298E">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721CE4CC">
      <w:pPr>
        <w:rPr>
          <w:rFonts w:hint="eastAsia" w:ascii="宋体" w:hAnsi="宋体"/>
          <w:color w:val="000000" w:themeColor="text1"/>
          <w:sz w:val="24"/>
          <w14:textFill>
            <w14:solidFill>
              <w14:schemeClr w14:val="tx1"/>
            </w14:solidFill>
          </w14:textFill>
        </w:rPr>
      </w:pPr>
    </w:p>
    <w:p w14:paraId="49D6D110">
      <w:pPr>
        <w:pStyle w:val="4"/>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3" w:type="default"/>
          <w:footerReference r:id="rId4"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val="en-US"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工程的</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w:t>
            </w:r>
            <w:r>
              <w:rPr>
                <w:rFonts w:hint="eastAsia" w:ascii="方正仿宋_GBK" w:hAnsi="方正仿宋_GBK" w:eastAsia="方正仿宋_GBK" w:cs="方正仿宋_GBK"/>
                <w:bCs/>
                <w:color w:val="000000"/>
                <w:sz w:val="24"/>
                <w:lang w:val="en-US" w:eastAsia="zh-CN"/>
              </w:rPr>
              <w:t>含13%税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5271AB39">
      <w:pPr>
        <w:numPr>
          <w:ilvl w:val="0"/>
          <w:numId w:val="3"/>
        </w:numPr>
        <w:spacing w:line="640" w:lineRule="exact"/>
        <w:ind w:firstLine="480" w:firstLineChars="200"/>
        <w:rPr>
          <w:rFonts w:hint="eastAsia" w:ascii="方正仿宋_GBK" w:hAnsi="方正仿宋_GBK" w:eastAsia="方正仿宋_GBK" w:cs="方正仿宋_GBK"/>
          <w:bCs/>
          <w:sz w:val="24"/>
          <w:u w:val="single"/>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sz w:val="24"/>
          <w:u w:val="single"/>
          <w:lang w:val="en-US" w:eastAsia="zh-CN"/>
        </w:rPr>
        <w:t>工程竣工验收合格后付至实际供货款的60%（不超过合同价的60%），工程完成外审付至实际供货量的70%（不超过合同价的70%），工程完成财审或扬州市审计局专项审计付至财审价或专项审计结果的97%，二年质保期满后，付清尾款（无息）。</w:t>
      </w:r>
    </w:p>
    <w:p w14:paraId="78F77D2F">
      <w:pPr>
        <w:numPr>
          <w:ilvl w:val="0"/>
          <w:numId w:val="0"/>
        </w:numPr>
        <w:spacing w:line="640" w:lineRule="exact"/>
        <w:ind w:leftChars="0"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lang w:eastAsia="zh-CN"/>
        </w:rPr>
        <w:t>）</w:t>
      </w:r>
      <w:r>
        <w:rPr>
          <w:rFonts w:hint="eastAsia" w:ascii="方正仿宋_GBK" w:hAnsi="方正仿宋_GBK" w:eastAsia="方正仿宋_GBK" w:cs="方正仿宋_GBK"/>
          <w:bCs/>
          <w:sz w:val="24"/>
        </w:rPr>
        <w:t xml:space="preserve">核对完成后乙方开具相应金额的增值税 </w:t>
      </w:r>
      <w:r>
        <w:rPr>
          <w:rFonts w:hint="eastAsia" w:ascii="方正仿宋_GBK" w:hAnsi="方正仿宋_GBK" w:eastAsia="方正仿宋_GBK" w:cs="方正仿宋_GBK"/>
          <w:bCs/>
          <w:sz w:val="24"/>
          <w:u w:val="single"/>
        </w:rPr>
        <w:t>专用</w:t>
      </w:r>
      <w:r>
        <w:rPr>
          <w:rFonts w:hint="eastAsia" w:ascii="方正仿宋_GBK" w:hAnsi="方正仿宋_GBK" w:eastAsia="方正仿宋_GBK" w:cs="方正仿宋_GBK"/>
          <w:bCs/>
          <w:sz w:val="24"/>
        </w:rPr>
        <w:t>发票，税率</w:t>
      </w:r>
      <w:r>
        <w:rPr>
          <w:rFonts w:hint="eastAsia" w:ascii="方正仿宋_GBK" w:hAnsi="方正仿宋_GBK" w:eastAsia="方正仿宋_GBK" w:cs="方正仿宋_GBK"/>
          <w:spacing w:val="4"/>
          <w:sz w:val="24"/>
        </w:rPr>
        <w:t>为</w:t>
      </w:r>
      <w:r>
        <w:rPr>
          <w:rFonts w:hint="eastAsia" w:ascii="方正仿宋_GBK" w:hAnsi="方正仿宋_GBK" w:eastAsia="方正仿宋_GBK" w:cs="方正仿宋_GBK"/>
          <w:spacing w:val="4"/>
          <w:sz w:val="24"/>
          <w:u w:val="single"/>
        </w:rPr>
        <w:t>13</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288F3F2F">
      <w:pPr>
        <w:spacing w:line="640" w:lineRule="exact"/>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 xml:space="preserve">    甲方指定发票接收人：</w:t>
      </w:r>
    </w:p>
    <w:p w14:paraId="2E1442DF">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姓名：</w:t>
      </w:r>
    </w:p>
    <w:p w14:paraId="337DBA56">
      <w:pPr>
        <w:spacing w:line="640" w:lineRule="exact"/>
        <w:ind w:firstLine="496"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spacing w:val="4"/>
          <w:sz w:val="24"/>
        </w:rPr>
        <w:t>联系方式：</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29"/>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29"/>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723EC945">
      <w:pPr>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4、乙方须提供甲方所需的热熔设备。</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3611B52B">
      <w:pPr>
        <w:pStyle w:val="4"/>
        <w:rPr>
          <w:color w:val="000000" w:themeColor="text1"/>
          <w14:textFill>
            <w14:solidFill>
              <w14:schemeClr w14:val="tx1"/>
            </w14:solidFill>
          </w14:textFill>
        </w:rPr>
      </w:pPr>
    </w:p>
    <w:p w14:paraId="6CD48F6C">
      <w:pPr>
        <w:pStyle w:val="4"/>
        <w:rPr>
          <w:color w:val="000000" w:themeColor="text1"/>
          <w14:textFill>
            <w14:solidFill>
              <w14:schemeClr w14:val="tx1"/>
            </w14:solidFill>
          </w14:textFill>
        </w:rPr>
      </w:pPr>
    </w:p>
    <w:p w14:paraId="1CF70972">
      <w:pPr>
        <w:pStyle w:val="4"/>
        <w:rPr>
          <w:color w:val="000000" w:themeColor="text1"/>
          <w14:textFill>
            <w14:solidFill>
              <w14:schemeClr w14:val="tx1"/>
            </w14:solidFill>
          </w14:textFill>
        </w:rPr>
      </w:pPr>
    </w:p>
    <w:p w14:paraId="1ADFE595">
      <w:pPr>
        <w:spacing w:line="360" w:lineRule="auto"/>
        <w:ind w:firstLine="643" w:firstLineChars="200"/>
        <w:jc w:val="center"/>
        <w:rPr>
          <w:rFonts w:hint="eastAsia" w:ascii="宋体" w:hAnsi="宋体" w:cs="宋体"/>
          <w:b/>
          <w:bCs/>
          <w:sz w:val="32"/>
          <w:szCs w:val="32"/>
        </w:rPr>
        <w:sectPr>
          <w:head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 xml:space="preserve">名称： </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sz w:val="24"/>
          <w:szCs w:val="24"/>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项目名称：</w:t>
      </w:r>
      <w:r>
        <w:rPr>
          <w:rFonts w:hint="eastAsia" w:ascii="方正仿宋_GBK" w:hAnsi="方正仿宋_GBK" w:eastAsia="方正仿宋_GBK" w:cs="方正仿宋_GBK"/>
          <w:sz w:val="24"/>
          <w:szCs w:val="24"/>
          <w:lang w:val="en-US" w:eastAsia="zh-CN"/>
        </w:rPr>
        <w:t xml:space="preserve"> </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1、本协议作为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工程采购合同的附件应一并签订、保管，与该合同具有同等法律效力，经双方签署后立即生效。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4C5EA02C">
      <w:pPr>
        <w:pStyle w:val="4"/>
        <w:rPr>
          <w:color w:val="000000" w:themeColor="text1"/>
          <w14:textFill>
            <w14:solidFill>
              <w14:schemeClr w14:val="tx1"/>
            </w14:solidFill>
          </w14:textFill>
        </w:rPr>
      </w:pPr>
    </w:p>
    <w:sectPr>
      <w:footerReference r:id="rId6" w:type="default"/>
      <w:pgSz w:w="11907" w:h="16840"/>
      <w:pgMar w:top="1247" w:right="1134" w:bottom="1134"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4EC1DA-5250-4BEC-81AF-9AE9F5B03A89}"/>
  </w:font>
  <w:font w:name="黑体">
    <w:panose1 w:val="02010609060101010101"/>
    <w:charset w:val="86"/>
    <w:family w:val="auto"/>
    <w:pitch w:val="default"/>
    <w:sig w:usb0="800002BF" w:usb1="38CF7CFA" w:usb2="00000016" w:usb3="00000000" w:csb0="00040001" w:csb1="00000000"/>
    <w:embedRegular r:id="rId2" w:fontKey="{7B91E2AB-9C5B-427B-8512-F1A3EEF470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3F50C4E-E2EB-420E-AF3A-7150B28E41C4}"/>
  </w:font>
  <w:font w:name="Arial Unicode MS">
    <w:altName w:val="宋体"/>
    <w:panose1 w:val="020B0604020202020204"/>
    <w:charset w:val="86"/>
    <w:family w:val="swiss"/>
    <w:pitch w:val="default"/>
    <w:sig w:usb0="00000000" w:usb1="00000000" w:usb2="0000003F" w:usb3="00000000" w:csb0="003F01FF" w:csb1="00000000"/>
  </w:font>
  <w:font w:name="方正仿宋_GBK">
    <w:panose1 w:val="03000509000000000000"/>
    <w:charset w:val="86"/>
    <w:family w:val="auto"/>
    <w:pitch w:val="default"/>
    <w:sig w:usb0="00000001" w:usb1="080E0000" w:usb2="00000000" w:usb3="00000000" w:csb0="00040000" w:csb1="00000000"/>
    <w:embedRegular r:id="rId4" w:fontKey="{115D2CA9-9DD4-4D08-8DBD-D1F35CB2AD38}"/>
  </w:font>
  <w:font w:name="Helvetica">
    <w:altName w:val="Arial"/>
    <w:panose1 w:val="00000000000000000000"/>
    <w:charset w:val="00"/>
    <w:family w:val="auto"/>
    <w:pitch w:val="default"/>
    <w:sig w:usb0="00000000" w:usb1="00000000" w:usb2="00000000" w:usb3="00000000" w:csb0="00040001" w:csb1="00000000"/>
    <w:embedRegular r:id="rId5" w:fontKey="{18DB199C-08D8-40C6-B5C9-D90FA5206480}"/>
  </w:font>
  <w:font w:name="楷体_GB2312">
    <w:panose1 w:val="02010609030101010101"/>
    <w:charset w:val="86"/>
    <w:family w:val="modern"/>
    <w:pitch w:val="default"/>
    <w:sig w:usb0="00000001" w:usb1="080E0000" w:usb2="00000000" w:usb3="00000000" w:csb0="00040000" w:csb1="00000000"/>
    <w:embedRegular r:id="rId6" w:fontKey="{A870A0AD-FCFE-4E89-84D8-7213BB3498ED}"/>
  </w:font>
  <w:font w:name="方正小标宋_GBK">
    <w:panose1 w:val="03000509000000000000"/>
    <w:charset w:val="86"/>
    <w:family w:val="auto"/>
    <w:pitch w:val="default"/>
    <w:sig w:usb0="00000001" w:usb1="080E0000" w:usb2="00000000" w:usb3="00000000" w:csb0="00040000" w:csb1="00000000"/>
    <w:embedRegular r:id="rId7" w:fontKey="{14AFBD19-6436-428A-BD44-17E43D920810}"/>
  </w:font>
  <w:font w:name="仿宋">
    <w:panose1 w:val="02010609060101010101"/>
    <w:charset w:val="86"/>
    <w:family w:val="auto"/>
    <w:pitch w:val="default"/>
    <w:sig w:usb0="800002BF" w:usb1="38CF7CFA" w:usb2="00000016" w:usb3="00000000" w:csb0="00040001" w:csb1="00000000"/>
    <w:embedRegular r:id="rId8" w:fontKey="{58DB8530-C3E3-493A-A856-53B2F66CEC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L8HyOzgEAAJcDAAAOAAAAAAAAAAEAIAAAAB8BAABkcnMv&#10;ZTJvRG9jLnhtbFBLBQYAAAAABgAGAFkBAABfBQAAAAA=&#10;">
              <v:fill on="f" focussize="0,0"/>
              <v:stroke on="f"/>
              <v:imagedata o:title=""/>
              <o:lock v:ext="edit" aspectratio="f"/>
              <v:textbox inset="0mm,0mm,0mm,0mm" style="mso-fit-shape-to-text:t;">
                <w:txbxContent>
                  <w:p w14:paraId="36F6CF15">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E7CB"/>
    <w:multiLevelType w:val="multilevel"/>
    <w:tmpl w:val="A534E7CB"/>
    <w:lvl w:ilvl="0" w:tentative="0">
      <w:start w:val="2"/>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B97F5E"/>
    <w:rsid w:val="02B726F0"/>
    <w:rsid w:val="03920CFE"/>
    <w:rsid w:val="03C76963"/>
    <w:rsid w:val="04506958"/>
    <w:rsid w:val="04ED064B"/>
    <w:rsid w:val="04F33787"/>
    <w:rsid w:val="05235BBF"/>
    <w:rsid w:val="05616943"/>
    <w:rsid w:val="057A6F83"/>
    <w:rsid w:val="06574153"/>
    <w:rsid w:val="07B132EE"/>
    <w:rsid w:val="08971538"/>
    <w:rsid w:val="09A23D87"/>
    <w:rsid w:val="0A045C92"/>
    <w:rsid w:val="0C006D9B"/>
    <w:rsid w:val="0C391C75"/>
    <w:rsid w:val="0C460641"/>
    <w:rsid w:val="0D046532"/>
    <w:rsid w:val="0D9773A6"/>
    <w:rsid w:val="0E422E9A"/>
    <w:rsid w:val="0E5A3EAC"/>
    <w:rsid w:val="105E328D"/>
    <w:rsid w:val="106B52EF"/>
    <w:rsid w:val="10E46038"/>
    <w:rsid w:val="115F642C"/>
    <w:rsid w:val="118916FB"/>
    <w:rsid w:val="119357E0"/>
    <w:rsid w:val="11DD6CEC"/>
    <w:rsid w:val="122657AD"/>
    <w:rsid w:val="12AD1419"/>
    <w:rsid w:val="12EA5FE1"/>
    <w:rsid w:val="13141EF4"/>
    <w:rsid w:val="137837D5"/>
    <w:rsid w:val="153951E6"/>
    <w:rsid w:val="158F2D02"/>
    <w:rsid w:val="16924BAE"/>
    <w:rsid w:val="16D64DEC"/>
    <w:rsid w:val="1748310D"/>
    <w:rsid w:val="17AA4179"/>
    <w:rsid w:val="18282018"/>
    <w:rsid w:val="192D0BBE"/>
    <w:rsid w:val="1A933FAF"/>
    <w:rsid w:val="1B32070E"/>
    <w:rsid w:val="1B441F92"/>
    <w:rsid w:val="1B863EE4"/>
    <w:rsid w:val="1BC96078"/>
    <w:rsid w:val="1D524DB7"/>
    <w:rsid w:val="1E4B2C37"/>
    <w:rsid w:val="1E6225BB"/>
    <w:rsid w:val="1E8C6387"/>
    <w:rsid w:val="1EA31154"/>
    <w:rsid w:val="1EC21A64"/>
    <w:rsid w:val="1EC92A20"/>
    <w:rsid w:val="1F0E4671"/>
    <w:rsid w:val="1FD42705"/>
    <w:rsid w:val="206C021E"/>
    <w:rsid w:val="20A951E7"/>
    <w:rsid w:val="20CA13E8"/>
    <w:rsid w:val="223A588B"/>
    <w:rsid w:val="226D193C"/>
    <w:rsid w:val="226F3FF6"/>
    <w:rsid w:val="227D128F"/>
    <w:rsid w:val="22E23D79"/>
    <w:rsid w:val="23A016EC"/>
    <w:rsid w:val="23D26B89"/>
    <w:rsid w:val="260C121F"/>
    <w:rsid w:val="262D66A1"/>
    <w:rsid w:val="265402D1"/>
    <w:rsid w:val="26BA2DC8"/>
    <w:rsid w:val="26E30BFE"/>
    <w:rsid w:val="28994243"/>
    <w:rsid w:val="28E66D39"/>
    <w:rsid w:val="2B4431B2"/>
    <w:rsid w:val="2CA37518"/>
    <w:rsid w:val="2FFE5B53"/>
    <w:rsid w:val="31A368A5"/>
    <w:rsid w:val="31F0483A"/>
    <w:rsid w:val="3220530C"/>
    <w:rsid w:val="32CA33D5"/>
    <w:rsid w:val="32E43D91"/>
    <w:rsid w:val="33976056"/>
    <w:rsid w:val="34804ED0"/>
    <w:rsid w:val="34EC7159"/>
    <w:rsid w:val="36F74DA2"/>
    <w:rsid w:val="377C1237"/>
    <w:rsid w:val="37AF7C77"/>
    <w:rsid w:val="39B96074"/>
    <w:rsid w:val="3B223EA3"/>
    <w:rsid w:val="3B257EFE"/>
    <w:rsid w:val="3C646ABC"/>
    <w:rsid w:val="3C691FB0"/>
    <w:rsid w:val="3CA8662A"/>
    <w:rsid w:val="3D1E68EC"/>
    <w:rsid w:val="3F8E7211"/>
    <w:rsid w:val="3FF839D9"/>
    <w:rsid w:val="40321424"/>
    <w:rsid w:val="41423887"/>
    <w:rsid w:val="416B77DA"/>
    <w:rsid w:val="420F0EF1"/>
    <w:rsid w:val="424B0183"/>
    <w:rsid w:val="43BC6694"/>
    <w:rsid w:val="442567B2"/>
    <w:rsid w:val="455547FD"/>
    <w:rsid w:val="4582210E"/>
    <w:rsid w:val="45A1630C"/>
    <w:rsid w:val="46E953C6"/>
    <w:rsid w:val="486F2E18"/>
    <w:rsid w:val="48711A0E"/>
    <w:rsid w:val="4883384F"/>
    <w:rsid w:val="48AB7822"/>
    <w:rsid w:val="49050C67"/>
    <w:rsid w:val="49066914"/>
    <w:rsid w:val="49B818C5"/>
    <w:rsid w:val="4AD23574"/>
    <w:rsid w:val="4AE83AA4"/>
    <w:rsid w:val="4AEF0FE5"/>
    <w:rsid w:val="4B7029BB"/>
    <w:rsid w:val="4BA210DE"/>
    <w:rsid w:val="4BBB78DA"/>
    <w:rsid w:val="4C3558DD"/>
    <w:rsid w:val="4CA44D12"/>
    <w:rsid w:val="4FE34DE9"/>
    <w:rsid w:val="50B6349B"/>
    <w:rsid w:val="50D92A99"/>
    <w:rsid w:val="511B5891"/>
    <w:rsid w:val="513F3A5E"/>
    <w:rsid w:val="516A7EFA"/>
    <w:rsid w:val="523634E2"/>
    <w:rsid w:val="53361833"/>
    <w:rsid w:val="53A92F5C"/>
    <w:rsid w:val="563034C0"/>
    <w:rsid w:val="56A8222D"/>
    <w:rsid w:val="56D62531"/>
    <w:rsid w:val="571E1031"/>
    <w:rsid w:val="572172AD"/>
    <w:rsid w:val="5731653C"/>
    <w:rsid w:val="58A65CBC"/>
    <w:rsid w:val="58D6764A"/>
    <w:rsid w:val="59B57910"/>
    <w:rsid w:val="59D52356"/>
    <w:rsid w:val="5A0C3255"/>
    <w:rsid w:val="5D582E82"/>
    <w:rsid w:val="5E445D2E"/>
    <w:rsid w:val="5F795ED8"/>
    <w:rsid w:val="61840B64"/>
    <w:rsid w:val="6279082B"/>
    <w:rsid w:val="62BF002C"/>
    <w:rsid w:val="62C31218"/>
    <w:rsid w:val="6370314E"/>
    <w:rsid w:val="6390231F"/>
    <w:rsid w:val="64747F00"/>
    <w:rsid w:val="64FD6B36"/>
    <w:rsid w:val="65EB0E69"/>
    <w:rsid w:val="66746855"/>
    <w:rsid w:val="667F60B7"/>
    <w:rsid w:val="66A870A3"/>
    <w:rsid w:val="66F35A29"/>
    <w:rsid w:val="678F10BD"/>
    <w:rsid w:val="68537464"/>
    <w:rsid w:val="68C57F09"/>
    <w:rsid w:val="6BBB4685"/>
    <w:rsid w:val="6C1F145F"/>
    <w:rsid w:val="6C9B5DE4"/>
    <w:rsid w:val="6CF272CA"/>
    <w:rsid w:val="6D0131CD"/>
    <w:rsid w:val="6D016897"/>
    <w:rsid w:val="6D116F45"/>
    <w:rsid w:val="6EC33740"/>
    <w:rsid w:val="6EE658EC"/>
    <w:rsid w:val="6F255FDF"/>
    <w:rsid w:val="6F4F0FDA"/>
    <w:rsid w:val="6FA2234A"/>
    <w:rsid w:val="6FC00FB9"/>
    <w:rsid w:val="6FD30157"/>
    <w:rsid w:val="711D243B"/>
    <w:rsid w:val="715916C6"/>
    <w:rsid w:val="726C5429"/>
    <w:rsid w:val="749018A2"/>
    <w:rsid w:val="74E70861"/>
    <w:rsid w:val="75F0011F"/>
    <w:rsid w:val="761A7694"/>
    <w:rsid w:val="7686731E"/>
    <w:rsid w:val="778C2829"/>
    <w:rsid w:val="77D7083D"/>
    <w:rsid w:val="77E9764D"/>
    <w:rsid w:val="78135BBF"/>
    <w:rsid w:val="78387804"/>
    <w:rsid w:val="7A546ECE"/>
    <w:rsid w:val="7AA15E8B"/>
    <w:rsid w:val="7AB53611"/>
    <w:rsid w:val="7B646DB9"/>
    <w:rsid w:val="7B8F57A7"/>
    <w:rsid w:val="7CCA4BCF"/>
    <w:rsid w:val="7D2A660C"/>
    <w:rsid w:val="7DB6110D"/>
    <w:rsid w:val="7E5111F0"/>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3"/>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标题 5（有编号）（绿盟科技）"/>
    <w:basedOn w:val="1"/>
    <w:next w:val="2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1">
    <w:name w:val="页眉 Char"/>
    <w:link w:val="11"/>
    <w:qFormat/>
    <w:uiPriority w:val="0"/>
    <w:rPr>
      <w:kern w:val="2"/>
      <w:sz w:val="18"/>
      <w:szCs w:val="18"/>
    </w:rPr>
  </w:style>
  <w:style w:type="character" w:customStyle="1" w:styleId="22">
    <w:name w:val="页脚 Char"/>
    <w:link w:val="10"/>
    <w:qFormat/>
    <w:uiPriority w:val="0"/>
    <w:rPr>
      <w:kern w:val="2"/>
      <w:sz w:val="18"/>
      <w:szCs w:val="18"/>
    </w:rPr>
  </w:style>
  <w:style w:type="character" w:customStyle="1" w:styleId="23">
    <w:name w:val="正文文本缩进 Char"/>
    <w:link w:val="5"/>
    <w:qFormat/>
    <w:uiPriority w:val="0"/>
    <w:rPr>
      <w:rFonts w:ascii="宋体" w:hAnsi="Calibri"/>
      <w:kern w:val="2"/>
      <w:sz w:val="28"/>
      <w:szCs w:val="22"/>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5">
    <w:name w:val="No Spacing1"/>
    <w:qFormat/>
    <w:uiPriority w:val="0"/>
    <w:rPr>
      <w:rFonts w:ascii="Calibri" w:hAnsi="Calibri" w:eastAsia="宋体" w:cs="Times New Roman"/>
      <w:sz w:val="22"/>
      <w:szCs w:val="22"/>
      <w:lang w:val="en-US" w:eastAsia="zh-CN" w:bidi="ar-SA"/>
    </w:rPr>
  </w:style>
  <w:style w:type="paragraph" w:customStyle="1" w:styleId="26">
    <w:name w:val="Char"/>
    <w:basedOn w:val="1"/>
    <w:qFormat/>
    <w:uiPriority w:val="0"/>
  </w:style>
  <w:style w:type="paragraph" w:customStyle="1" w:styleId="27">
    <w:name w:val="+正文"/>
    <w:basedOn w:val="1"/>
    <w:qFormat/>
    <w:uiPriority w:val="0"/>
    <w:pPr>
      <w:spacing w:line="360" w:lineRule="auto"/>
      <w:ind w:firstLine="200" w:firstLineChars="200"/>
    </w:pPr>
    <w:rPr>
      <w:sz w:val="24"/>
      <w:szCs w:val="28"/>
    </w:rPr>
  </w:style>
  <w:style w:type="paragraph" w:customStyle="1" w:styleId="28">
    <w:name w:val="List Paragraph1"/>
    <w:basedOn w:val="1"/>
    <w:qFormat/>
    <w:uiPriority w:val="0"/>
    <w:pPr>
      <w:widowControl/>
      <w:ind w:firstLine="420" w:firstLineChars="200"/>
      <w:jc w:val="left"/>
    </w:pPr>
    <w:rPr>
      <w:rFonts w:ascii="宋体" w:hAnsi="宋体" w:cs="宋体"/>
      <w:kern w:val="0"/>
      <w:sz w:val="24"/>
    </w:rPr>
  </w:style>
  <w:style w:type="paragraph" w:styleId="29">
    <w:name w:val="List Paragraph"/>
    <w:basedOn w:val="1"/>
    <w:qFormat/>
    <w:uiPriority w:val="0"/>
    <w:pPr>
      <w:ind w:firstLine="420" w:firstLineChars="200"/>
    </w:pPr>
    <w:rPr>
      <w:rFonts w:ascii="Calibri" w:hAnsi="Calibri"/>
      <w:szCs w:val="22"/>
    </w:rPr>
  </w:style>
  <w:style w:type="character" w:customStyle="1" w:styleId="30">
    <w:name w:val="font11"/>
    <w:basedOn w:val="18"/>
    <w:qFormat/>
    <w:uiPriority w:val="0"/>
    <w:rPr>
      <w:rFonts w:hint="eastAsia" w:ascii="宋体" w:hAnsi="宋体" w:eastAsia="宋体" w:cs="宋体"/>
      <w:color w:val="000000"/>
      <w:sz w:val="21"/>
      <w:szCs w:val="21"/>
      <w:u w:val="none"/>
    </w:rPr>
  </w:style>
  <w:style w:type="character" w:customStyle="1" w:styleId="31">
    <w:name w:val="font21"/>
    <w:basedOn w:val="18"/>
    <w:qFormat/>
    <w:uiPriority w:val="0"/>
    <w:rPr>
      <w:rFonts w:hint="default" w:ascii="Times New Roman" w:hAnsi="Times New Roman" w:cs="Times New Roman"/>
      <w:color w:val="000000"/>
      <w:sz w:val="21"/>
      <w:szCs w:val="21"/>
      <w:u w:val="none"/>
    </w:rPr>
  </w:style>
  <w:style w:type="paragraph" w:customStyle="1" w:styleId="32">
    <w:name w:val="正文_2"/>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22</Pages>
  <Words>9324</Words>
  <Characters>9535</Characters>
  <Lines>30</Lines>
  <Paragraphs>8</Paragraphs>
  <TotalTime>1</TotalTime>
  <ScaleCrop>false</ScaleCrop>
  <LinksUpToDate>false</LinksUpToDate>
  <CharactersWithSpaces>10695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顾涛</cp:lastModifiedBy>
  <cp:lastPrinted>2025-11-18T08:13:00Z</cp:lastPrinted>
  <dcterms:modified xsi:type="dcterms:W3CDTF">2025-11-28T02:32:03Z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BC45F49CE6374AD093D543CCF61E5777_13</vt:lpwstr>
  </property>
  <property fmtid="{D5CDD505-2E9C-101B-9397-08002B2CF9AE}" pid="4" name="KSOTemplateDocerSaveRecord">
    <vt:lpwstr>eyJoZGlkIjoiZTZmYTUzMDI2OTQ2ZDhhYTk4NGE3MGUyNWZiOTM3NzIiLCJ1c2VySWQiOiIxNjQ1Mzc3MjM2In0=</vt:lpwstr>
  </property>
</Properties>
</file>